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C8E" w:rsidRPr="00DD5616" w:rsidRDefault="00422C8E" w:rsidP="00422C8E">
      <w:pPr>
        <w:rPr>
          <w:rFonts w:cs="Arial"/>
          <w:b/>
          <w:sz w:val="22"/>
        </w:rPr>
      </w:pPr>
      <w:r w:rsidRPr="00DD5616">
        <w:rPr>
          <w:rFonts w:cs="Arial"/>
          <w:b/>
          <w:sz w:val="22"/>
        </w:rPr>
        <w:t xml:space="preserve">Table S4: </w:t>
      </w:r>
      <w:r w:rsidR="00056BAE">
        <w:rPr>
          <w:rFonts w:cs="Arial"/>
          <w:b/>
          <w:sz w:val="22"/>
        </w:rPr>
        <w:t>MS analysi</w:t>
      </w:r>
      <w:bookmarkStart w:id="0" w:name="_GoBack"/>
      <w:bookmarkEnd w:id="0"/>
      <w:r w:rsidRPr="00DD5616">
        <w:rPr>
          <w:rFonts w:cs="Arial"/>
          <w:b/>
          <w:sz w:val="22"/>
        </w:rPr>
        <w:t xml:space="preserve">s of KDM6A </w:t>
      </w:r>
      <w:proofErr w:type="spellStart"/>
      <w:r w:rsidRPr="00DD5616">
        <w:rPr>
          <w:rFonts w:cs="Arial"/>
          <w:b/>
          <w:sz w:val="22"/>
        </w:rPr>
        <w:t>interactome</w:t>
      </w:r>
      <w:proofErr w:type="spellEnd"/>
      <w:r w:rsidRPr="00DD5616">
        <w:rPr>
          <w:rFonts w:cs="Arial"/>
          <w:b/>
          <w:sz w:val="22"/>
        </w:rPr>
        <w:t>.</w:t>
      </w:r>
    </w:p>
    <w:tbl>
      <w:tblPr>
        <w:tblStyle w:val="Tabellenraster"/>
        <w:tblW w:w="5665" w:type="dxa"/>
        <w:jc w:val="center"/>
        <w:tblLook w:val="04A0" w:firstRow="1" w:lastRow="0" w:firstColumn="1" w:lastColumn="0" w:noHBand="0" w:noVBand="1"/>
      </w:tblPr>
      <w:tblGrid>
        <w:gridCol w:w="625"/>
        <w:gridCol w:w="1260"/>
        <w:gridCol w:w="3780"/>
      </w:tblGrid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b/>
                <w:bCs/>
                <w:sz w:val="22"/>
              </w:rPr>
            </w:pPr>
            <w:r w:rsidRPr="00854AF9">
              <w:rPr>
                <w:rFonts w:cs="Arial"/>
                <w:b/>
                <w:bCs/>
                <w:sz w:val="22"/>
              </w:rPr>
              <w:t>#</w:t>
            </w:r>
          </w:p>
        </w:tc>
        <w:tc>
          <w:tcPr>
            <w:tcW w:w="1260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b/>
                <w:bCs/>
                <w:sz w:val="22"/>
              </w:rPr>
            </w:pPr>
            <w:r w:rsidRPr="00854AF9">
              <w:rPr>
                <w:rFonts w:cs="Arial"/>
                <w:b/>
                <w:bCs/>
                <w:sz w:val="22"/>
              </w:rPr>
              <w:t>p value</w:t>
            </w:r>
          </w:p>
        </w:tc>
        <w:tc>
          <w:tcPr>
            <w:tcW w:w="3780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b/>
                <w:bCs/>
                <w:sz w:val="22"/>
              </w:rPr>
            </w:pPr>
            <w:r w:rsidRPr="00854AF9">
              <w:rPr>
                <w:rFonts w:cs="Arial"/>
                <w:b/>
                <w:bCs/>
                <w:sz w:val="22"/>
              </w:rPr>
              <w:t>Protein names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b/>
                <w:color w:val="FF0000"/>
                <w:sz w:val="22"/>
              </w:rPr>
            </w:pPr>
            <w:r w:rsidRPr="00854AF9">
              <w:rPr>
                <w:rFonts w:cs="Arial"/>
                <w:b/>
                <w:color w:val="FF0000"/>
                <w:sz w:val="22"/>
              </w:rPr>
              <w:t>1</w:t>
            </w:r>
          </w:p>
        </w:tc>
        <w:tc>
          <w:tcPr>
            <w:tcW w:w="1260" w:type="dxa"/>
            <w:noWrap/>
            <w:hideMark/>
          </w:tcPr>
          <w:p w:rsidR="0021292C" w:rsidRPr="00854AF9" w:rsidRDefault="0021292C" w:rsidP="00F279BC">
            <w:pPr>
              <w:rPr>
                <w:rFonts w:cs="Arial"/>
                <w:b/>
                <w:color w:val="FF0000"/>
                <w:sz w:val="22"/>
              </w:rPr>
            </w:pPr>
            <w:r w:rsidRPr="00854AF9">
              <w:rPr>
                <w:rFonts w:cs="Arial"/>
                <w:b/>
                <w:color w:val="FF0000"/>
                <w:sz w:val="22"/>
              </w:rPr>
              <w:t>7.71E-08</w:t>
            </w:r>
          </w:p>
        </w:tc>
        <w:tc>
          <w:tcPr>
            <w:tcW w:w="3780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b/>
                <w:color w:val="FF0000"/>
                <w:sz w:val="22"/>
              </w:rPr>
            </w:pPr>
            <w:r w:rsidRPr="00854AF9">
              <w:rPr>
                <w:rFonts w:cs="Arial"/>
                <w:b/>
                <w:color w:val="FF0000"/>
                <w:sz w:val="22"/>
              </w:rPr>
              <w:t>KDM6A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  <w:hideMark/>
          </w:tcPr>
          <w:p w:rsidR="0021292C" w:rsidRPr="00C0243B" w:rsidRDefault="0021292C" w:rsidP="00F279BC">
            <w:pPr>
              <w:jc w:val="center"/>
              <w:rPr>
                <w:rFonts w:cs="Arial"/>
                <w:b/>
                <w:color w:val="4472C4" w:themeColor="accent5"/>
                <w:sz w:val="22"/>
              </w:rPr>
            </w:pPr>
            <w:r w:rsidRPr="00C0243B">
              <w:rPr>
                <w:rFonts w:cs="Arial"/>
                <w:b/>
                <w:color w:val="4472C4" w:themeColor="accent5"/>
                <w:sz w:val="22"/>
              </w:rPr>
              <w:t>2</w:t>
            </w:r>
          </w:p>
        </w:tc>
        <w:tc>
          <w:tcPr>
            <w:tcW w:w="1260" w:type="dxa"/>
            <w:noWrap/>
            <w:hideMark/>
          </w:tcPr>
          <w:p w:rsidR="0021292C" w:rsidRPr="00C0243B" w:rsidRDefault="0021292C" w:rsidP="00F279BC">
            <w:pPr>
              <w:rPr>
                <w:rFonts w:cs="Arial"/>
                <w:b/>
                <w:color w:val="4472C4" w:themeColor="accent5"/>
                <w:sz w:val="22"/>
              </w:rPr>
            </w:pPr>
            <w:r w:rsidRPr="00C0243B">
              <w:rPr>
                <w:rFonts w:cs="Arial"/>
                <w:b/>
                <w:color w:val="4472C4" w:themeColor="accent5"/>
                <w:sz w:val="22"/>
              </w:rPr>
              <w:t>6.19E-07</w:t>
            </w:r>
          </w:p>
        </w:tc>
        <w:tc>
          <w:tcPr>
            <w:tcW w:w="3780" w:type="dxa"/>
            <w:noWrap/>
            <w:hideMark/>
          </w:tcPr>
          <w:p w:rsidR="0021292C" w:rsidRPr="00C0243B" w:rsidRDefault="0021292C" w:rsidP="00F279BC">
            <w:pPr>
              <w:jc w:val="center"/>
              <w:rPr>
                <w:rFonts w:cs="Arial"/>
                <w:b/>
                <w:color w:val="4472C4" w:themeColor="accent5"/>
                <w:sz w:val="22"/>
              </w:rPr>
            </w:pPr>
            <w:r w:rsidRPr="00C0243B">
              <w:rPr>
                <w:rFonts w:cs="Arial"/>
                <w:b/>
                <w:color w:val="4472C4" w:themeColor="accent5"/>
                <w:sz w:val="22"/>
              </w:rPr>
              <w:t>NPM1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3</w:t>
            </w:r>
          </w:p>
        </w:tc>
        <w:tc>
          <w:tcPr>
            <w:tcW w:w="1260" w:type="dxa"/>
            <w:noWrap/>
            <w:hideMark/>
          </w:tcPr>
          <w:p w:rsidR="0021292C" w:rsidRPr="00854AF9" w:rsidRDefault="0021292C" w:rsidP="00F279BC">
            <w:pPr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4.31E-06</w:t>
            </w:r>
          </w:p>
        </w:tc>
        <w:tc>
          <w:tcPr>
            <w:tcW w:w="3780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60S ribosomal protein L10a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4</w:t>
            </w:r>
          </w:p>
        </w:tc>
        <w:tc>
          <w:tcPr>
            <w:tcW w:w="1260" w:type="dxa"/>
            <w:noWrap/>
            <w:hideMark/>
          </w:tcPr>
          <w:p w:rsidR="0021292C" w:rsidRPr="00854AF9" w:rsidRDefault="0021292C" w:rsidP="00F279BC">
            <w:pPr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5.53E-05</w:t>
            </w:r>
          </w:p>
        </w:tc>
        <w:tc>
          <w:tcPr>
            <w:tcW w:w="3780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 xml:space="preserve">Histone </w:t>
            </w:r>
            <w:r w:rsidRPr="00854AF9">
              <w:rPr>
                <w:rFonts w:cs="Arial"/>
                <w:sz w:val="22"/>
              </w:rPr>
              <w:t>H2A types A/B/C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5</w:t>
            </w:r>
          </w:p>
        </w:tc>
        <w:tc>
          <w:tcPr>
            <w:tcW w:w="1260" w:type="dxa"/>
            <w:noWrap/>
          </w:tcPr>
          <w:p w:rsidR="0021292C" w:rsidRPr="00854AF9" w:rsidRDefault="0021292C" w:rsidP="00F279BC">
            <w:pPr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2.66E-05</w:t>
            </w:r>
          </w:p>
        </w:tc>
        <w:tc>
          <w:tcPr>
            <w:tcW w:w="3780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60S ribosomal protein L18a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6</w:t>
            </w:r>
          </w:p>
        </w:tc>
        <w:tc>
          <w:tcPr>
            <w:tcW w:w="1260" w:type="dxa"/>
            <w:noWrap/>
            <w:hideMark/>
          </w:tcPr>
          <w:p w:rsidR="0021292C" w:rsidRPr="00854AF9" w:rsidRDefault="0021292C" w:rsidP="00F279BC">
            <w:pPr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7.40E-05</w:t>
            </w:r>
          </w:p>
        </w:tc>
        <w:tc>
          <w:tcPr>
            <w:tcW w:w="3780" w:type="dxa"/>
            <w:noWrap/>
            <w:hideMark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Histones</w:t>
            </w:r>
            <w:r w:rsidRPr="00854AF9">
              <w:rPr>
                <w:rFonts w:cs="Arial"/>
                <w:sz w:val="22"/>
              </w:rPr>
              <w:t xml:space="preserve"> H4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7</w:t>
            </w:r>
          </w:p>
        </w:tc>
        <w:tc>
          <w:tcPr>
            <w:tcW w:w="1260" w:type="dxa"/>
            <w:noWrap/>
          </w:tcPr>
          <w:p w:rsidR="0021292C" w:rsidRPr="00854AF9" w:rsidRDefault="0021292C" w:rsidP="00F279BC">
            <w:pPr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4.88E-04</w:t>
            </w:r>
          </w:p>
        </w:tc>
        <w:tc>
          <w:tcPr>
            <w:tcW w:w="3780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60S ribosomal protein L14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8</w:t>
            </w:r>
          </w:p>
        </w:tc>
        <w:tc>
          <w:tcPr>
            <w:tcW w:w="1260" w:type="dxa"/>
            <w:noWrap/>
          </w:tcPr>
          <w:p w:rsidR="0021292C" w:rsidRPr="00854AF9" w:rsidRDefault="0021292C" w:rsidP="00F279BC">
            <w:pPr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4.23E-04</w:t>
            </w:r>
          </w:p>
        </w:tc>
        <w:tc>
          <w:tcPr>
            <w:tcW w:w="3780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Histones H2A.V</w:t>
            </w:r>
            <w:r w:rsidRPr="00854AF9">
              <w:rPr>
                <w:rFonts w:cs="Arial"/>
                <w:sz w:val="22"/>
              </w:rPr>
              <w:t xml:space="preserve"> H2A.Z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9</w:t>
            </w:r>
          </w:p>
        </w:tc>
        <w:tc>
          <w:tcPr>
            <w:tcW w:w="1260" w:type="dxa"/>
            <w:noWrap/>
          </w:tcPr>
          <w:p w:rsidR="0021292C" w:rsidRPr="00854AF9" w:rsidRDefault="0021292C" w:rsidP="00F279BC">
            <w:pPr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3.80E-04</w:t>
            </w:r>
          </w:p>
        </w:tc>
        <w:tc>
          <w:tcPr>
            <w:tcW w:w="3780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 xml:space="preserve">Histone </w:t>
            </w:r>
            <w:r w:rsidRPr="00854AF9">
              <w:rPr>
                <w:rFonts w:cs="Arial"/>
                <w:sz w:val="22"/>
              </w:rPr>
              <w:t>H3.3</w:t>
            </w:r>
          </w:p>
        </w:tc>
      </w:tr>
      <w:tr w:rsidR="0021292C" w:rsidRPr="00854AF9" w:rsidTr="00F279BC">
        <w:trPr>
          <w:trHeight w:val="300"/>
          <w:jc w:val="center"/>
        </w:trPr>
        <w:tc>
          <w:tcPr>
            <w:tcW w:w="625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10</w:t>
            </w:r>
          </w:p>
        </w:tc>
        <w:tc>
          <w:tcPr>
            <w:tcW w:w="1260" w:type="dxa"/>
            <w:noWrap/>
          </w:tcPr>
          <w:p w:rsidR="0021292C" w:rsidRPr="00854AF9" w:rsidRDefault="0021292C" w:rsidP="00F279BC">
            <w:pPr>
              <w:rPr>
                <w:rFonts w:cs="Arial"/>
                <w:sz w:val="22"/>
              </w:rPr>
            </w:pPr>
            <w:r w:rsidRPr="00854AF9">
              <w:rPr>
                <w:rFonts w:cs="Arial"/>
                <w:sz w:val="22"/>
              </w:rPr>
              <w:t>2.63E-04</w:t>
            </w:r>
          </w:p>
        </w:tc>
        <w:tc>
          <w:tcPr>
            <w:tcW w:w="3780" w:type="dxa"/>
            <w:noWrap/>
          </w:tcPr>
          <w:p w:rsidR="0021292C" w:rsidRPr="00854AF9" w:rsidRDefault="0021292C" w:rsidP="00F279BC">
            <w:pPr>
              <w:jc w:val="center"/>
              <w:rPr>
                <w:rFonts w:cs="Arial"/>
                <w:sz w:val="22"/>
              </w:rPr>
            </w:pPr>
            <w:proofErr w:type="spellStart"/>
            <w:r w:rsidRPr="00854AF9">
              <w:rPr>
                <w:rFonts w:cs="Arial"/>
                <w:sz w:val="22"/>
              </w:rPr>
              <w:t>Nucleolin</w:t>
            </w:r>
            <w:proofErr w:type="spellEnd"/>
          </w:p>
        </w:tc>
      </w:tr>
    </w:tbl>
    <w:p w:rsidR="00422C8E" w:rsidRDefault="00422C8E"/>
    <w:p w:rsidR="00422C8E" w:rsidRDefault="00422C8E">
      <w:pPr>
        <w:rPr>
          <w:sz w:val="22"/>
        </w:rPr>
      </w:pPr>
      <w:r>
        <w:rPr>
          <w:sz w:val="22"/>
        </w:rPr>
        <w:t>T</w:t>
      </w:r>
      <w:r w:rsidRPr="00854AF9">
        <w:rPr>
          <w:sz w:val="22"/>
        </w:rPr>
        <w:t>op ten proteins identified by MS in KDM6A-tagGFP2 stable cell lines VM-CUB1 and RT-112</w:t>
      </w:r>
      <w:r>
        <w:rPr>
          <w:sz w:val="22"/>
        </w:rPr>
        <w:t xml:space="preserve">. Among the top ten proteins in KDM6A pull down and subsequent MS, </w:t>
      </w:r>
      <w:proofErr w:type="spellStart"/>
      <w:r>
        <w:rPr>
          <w:sz w:val="22"/>
        </w:rPr>
        <w:t>Nucleophosmin</w:t>
      </w:r>
      <w:proofErr w:type="spellEnd"/>
      <w:r>
        <w:rPr>
          <w:sz w:val="22"/>
        </w:rPr>
        <w:t xml:space="preserve"> (NPM1), </w:t>
      </w:r>
      <w:proofErr w:type="spellStart"/>
      <w:r>
        <w:rPr>
          <w:sz w:val="22"/>
        </w:rPr>
        <w:t>Nucleolin</w:t>
      </w:r>
      <w:proofErr w:type="spellEnd"/>
      <w:r>
        <w:rPr>
          <w:sz w:val="22"/>
        </w:rPr>
        <w:t xml:space="preserve">, ribosomal subunits 40S and 60S, as well as histone variants, are detectable. Graphical analysis of </w:t>
      </w:r>
      <w:r w:rsidRPr="00C0243B">
        <w:rPr>
          <w:sz w:val="22"/>
        </w:rPr>
        <w:t xml:space="preserve">MS data </w:t>
      </w:r>
      <w:proofErr w:type="gramStart"/>
      <w:r w:rsidRPr="00C0243B">
        <w:rPr>
          <w:sz w:val="22"/>
        </w:rPr>
        <w:t>are shown</w:t>
      </w:r>
      <w:proofErr w:type="gramEnd"/>
      <w:r w:rsidRPr="00C0243B">
        <w:rPr>
          <w:sz w:val="22"/>
        </w:rPr>
        <w:t xml:space="preserve"> in</w:t>
      </w:r>
      <w:r w:rsidRPr="006A1735">
        <w:rPr>
          <w:b/>
          <w:sz w:val="22"/>
        </w:rPr>
        <w:t xml:space="preserve"> Figure </w:t>
      </w:r>
      <w:r>
        <w:rPr>
          <w:b/>
          <w:sz w:val="22"/>
        </w:rPr>
        <w:t>S</w:t>
      </w:r>
      <w:r w:rsidRPr="006A1735">
        <w:rPr>
          <w:b/>
          <w:sz w:val="22"/>
        </w:rPr>
        <w:t>8</w:t>
      </w:r>
      <w:r>
        <w:rPr>
          <w:sz w:val="22"/>
        </w:rPr>
        <w:t xml:space="preserve">. Mutational KDM6A and KMT2C/D status and experiments with RT-112 and VM-CUB1 are recently published </w:t>
      </w:r>
      <w:r>
        <w:rPr>
          <w:sz w:val="22"/>
        </w:rPr>
        <w:fldChar w:fldCharType="begin"/>
      </w:r>
      <w:r>
        <w:rPr>
          <w:sz w:val="22"/>
        </w:rPr>
        <w:instrText xml:space="preserve"> ADDIN EN.CITE &lt;EndNote&gt;&lt;Cite&gt;&lt;Author&gt;Lang&lt;/Author&gt;&lt;Year&gt;2019&lt;/Year&gt;&lt;RecNum&gt;28&lt;/RecNum&gt;&lt;DisplayText&gt;[1]&lt;/DisplayText&gt;&lt;record&gt;&lt;rec-number&gt;28&lt;/rec-number&gt;&lt;foreign-keys&gt;&lt;key app="EN" db-id="2rzpsetz4avzsoeft5qvvtvrpsd0dwvztw9r" timestamp="1604490594"&gt;28&lt;/key&gt;&lt;/foreign-keys&gt;&lt;ref-type name="Journal Article"&gt;17&lt;/ref-type&gt;&lt;contributors&gt;&lt;authors&gt;&lt;author&gt;Lang, A.&lt;/author&gt;&lt;author&gt;Yilmaz, M.&lt;/author&gt;&lt;author&gt;Hader, C.&lt;/author&gt;&lt;author&gt;Murday, S.&lt;/author&gt;&lt;author&gt;Kunz, X.&lt;/author&gt;&lt;author&gt;Wagner, N.&lt;/author&gt;&lt;author&gt;Wiek, C.&lt;/author&gt;&lt;author&gt;Petzsch, P.&lt;/author&gt;&lt;author&gt;Kohrer, K.&lt;/author&gt;&lt;author&gt;Koch, J.&lt;/author&gt;&lt;author&gt;Hoffmann, M. J.&lt;/author&gt;&lt;author&gt;Greife, A.&lt;/author&gt;&lt;author&gt;Schulz, W. A.&lt;/author&gt;&lt;/authors&gt;&lt;/contributors&gt;&lt;titles&gt;&lt;title&gt;Contingencies of UTX/KDM6A Action in Urothelial Carcinoma&lt;/title&gt;&lt;secondary-title&gt;Cancers&lt;/secondary-title&gt;&lt;/titles&gt;&lt;periodical&gt;&lt;full-title&gt;Cancers&lt;/full-title&gt;&lt;/periodical&gt;&lt;volume&gt;11&lt;/volume&gt;&lt;number&gt;4&lt;/number&gt;&lt;dates&gt;&lt;year&gt;2019&lt;/year&gt;&lt;pub-dates&gt;&lt;date&gt;Apr&lt;/date&gt;&lt;/pub-dates&gt;&lt;/dates&gt;&lt;isbn&gt;2072-6694&lt;/isbn&gt;&lt;accession-num&gt;WOS:000467773400049&lt;/accession-num&gt;&lt;urls&gt;&lt;related-urls&gt;&lt;url&gt;&amp;lt;Go to ISI&amp;gt;://WOS:000467773400049&lt;/url&gt;&lt;/related-urls&gt;&lt;/urls&gt;&lt;custom7&gt;481&lt;/custom7&gt;&lt;electronic-resource-num&gt;10.3390/cancers11040481&lt;/electronic-resource-num&gt;&lt;/record&gt;&lt;/Cite&gt;&lt;/EndNote&gt;</w:instrText>
      </w:r>
      <w:r>
        <w:rPr>
          <w:sz w:val="22"/>
        </w:rPr>
        <w:fldChar w:fldCharType="separate"/>
      </w:r>
      <w:r>
        <w:rPr>
          <w:noProof/>
          <w:sz w:val="22"/>
        </w:rPr>
        <w:t>[1]</w:t>
      </w:r>
      <w:r>
        <w:rPr>
          <w:sz w:val="22"/>
        </w:rPr>
        <w:fldChar w:fldCharType="end"/>
      </w:r>
    </w:p>
    <w:p w:rsidR="00422C8E" w:rsidRPr="00422C8E" w:rsidRDefault="00422C8E">
      <w:pPr>
        <w:rPr>
          <w:sz w:val="22"/>
        </w:rPr>
      </w:pPr>
    </w:p>
    <w:p w:rsidR="006232F2" w:rsidRPr="00422C8E" w:rsidRDefault="006232F2" w:rsidP="006232F2">
      <w:pPr>
        <w:pStyle w:val="EndNoteBibliography"/>
        <w:ind w:left="720" w:hanging="720"/>
        <w:rPr>
          <w:sz w:val="22"/>
        </w:rPr>
      </w:pPr>
      <w:r w:rsidRPr="00422C8E">
        <w:rPr>
          <w:sz w:val="22"/>
        </w:rPr>
        <w:fldChar w:fldCharType="begin"/>
      </w:r>
      <w:r w:rsidRPr="00422C8E">
        <w:rPr>
          <w:sz w:val="22"/>
        </w:rPr>
        <w:instrText xml:space="preserve"> ADDIN EN.REFLIST </w:instrText>
      </w:r>
      <w:r w:rsidRPr="00422C8E">
        <w:rPr>
          <w:sz w:val="22"/>
        </w:rPr>
        <w:fldChar w:fldCharType="separate"/>
      </w:r>
      <w:r w:rsidRPr="00422C8E">
        <w:rPr>
          <w:sz w:val="22"/>
        </w:rPr>
        <w:t>1.</w:t>
      </w:r>
      <w:r w:rsidRPr="00422C8E">
        <w:rPr>
          <w:sz w:val="22"/>
        </w:rPr>
        <w:tab/>
        <w:t xml:space="preserve">Lang, A., et al., </w:t>
      </w:r>
      <w:r w:rsidRPr="00422C8E">
        <w:rPr>
          <w:i/>
          <w:sz w:val="22"/>
        </w:rPr>
        <w:t>Contingencies of UTX/KDM6A Action in Urothelial Carcinoma.</w:t>
      </w:r>
      <w:r w:rsidRPr="00422C8E">
        <w:rPr>
          <w:sz w:val="22"/>
        </w:rPr>
        <w:t xml:space="preserve"> Cancers, 2019. </w:t>
      </w:r>
      <w:r w:rsidRPr="00422C8E">
        <w:rPr>
          <w:b/>
          <w:sz w:val="22"/>
        </w:rPr>
        <w:t>11</w:t>
      </w:r>
      <w:r w:rsidRPr="00422C8E">
        <w:rPr>
          <w:sz w:val="22"/>
        </w:rPr>
        <w:t>(4).</w:t>
      </w:r>
    </w:p>
    <w:p w:rsidR="00F10FE2" w:rsidRDefault="006232F2">
      <w:r w:rsidRPr="00422C8E">
        <w:rPr>
          <w:sz w:val="22"/>
        </w:rPr>
        <w:fldChar w:fldCharType="end"/>
      </w:r>
    </w:p>
    <w:sectPr w:rsidR="00F10F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Numbered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zpsetz4avzsoeft5qvvtvrpsd0dwvztw9r&quot;&gt;EndNote KDM6A 2020&lt;record-ids&gt;&lt;item&gt;28&lt;/item&gt;&lt;/record-ids&gt;&lt;/item&gt;&lt;/Libraries&gt;"/>
  </w:docVars>
  <w:rsids>
    <w:rsidRoot w:val="0021292C"/>
    <w:rsid w:val="00056BAE"/>
    <w:rsid w:val="0021292C"/>
    <w:rsid w:val="00422C8E"/>
    <w:rsid w:val="006232F2"/>
    <w:rsid w:val="00BB121F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098E9"/>
  <w15:chartTrackingRefBased/>
  <w15:docId w15:val="{E19CDD40-A235-4B64-A0C5-BB6BD35B6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1292C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129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6232F2"/>
    <w:pPr>
      <w:spacing w:after="0"/>
      <w:jc w:val="center"/>
    </w:pPr>
    <w:rPr>
      <w:rFonts w:cs="Arial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6232F2"/>
    <w:rPr>
      <w:rFonts w:ascii="Arial" w:hAnsi="Arial" w:cs="Arial"/>
      <w:noProof/>
      <w:sz w:val="24"/>
    </w:rPr>
  </w:style>
  <w:style w:type="paragraph" w:customStyle="1" w:styleId="EndNoteBibliography">
    <w:name w:val="EndNote Bibliography"/>
    <w:basedOn w:val="Standard"/>
    <w:link w:val="EndNoteBibliographyZchn"/>
    <w:rsid w:val="006232F2"/>
    <w:pPr>
      <w:spacing w:line="240" w:lineRule="auto"/>
    </w:pPr>
    <w:rPr>
      <w:rFonts w:cs="Arial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6232F2"/>
    <w:rPr>
      <w:rFonts w:ascii="Arial" w:hAnsi="Arial" w:cs="Arial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4</cp:revision>
  <dcterms:created xsi:type="dcterms:W3CDTF">2020-12-11T11:42:00Z</dcterms:created>
  <dcterms:modified xsi:type="dcterms:W3CDTF">2020-12-14T12:04:00Z</dcterms:modified>
</cp:coreProperties>
</file>