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360" w:firstLineChars="100"/>
        <w:jc w:val="center"/>
        <w:rPr>
          <w:rFonts w:ascii="Times New Roman" w:hAnsi="Times New Roman" w:cs="Times New Roman"/>
          <w:kern w:val="0"/>
          <w:sz w:val="36"/>
          <w:szCs w:val="28"/>
        </w:rPr>
      </w:pPr>
      <w:r>
        <w:rPr>
          <w:rFonts w:ascii="Times New Roman" w:hAnsi="Times New Roman" w:cs="Times New Roman"/>
          <w:kern w:val="0"/>
          <w:sz w:val="36"/>
          <w:szCs w:val="28"/>
        </w:rPr>
        <w:t xml:space="preserve">Supplementary Materials </w:t>
      </w:r>
    </w:p>
    <w:p>
      <w:pPr>
        <w:autoSpaceDE w:val="0"/>
        <w:autoSpaceDN w:val="0"/>
        <w:adjustRightInd w:val="0"/>
        <w:ind w:firstLine="360" w:firstLineChars="100"/>
        <w:jc w:val="center"/>
        <w:rPr>
          <w:rFonts w:ascii="Times New Roman" w:hAnsi="Times New Roman" w:cs="Times New Roman"/>
          <w:kern w:val="0"/>
          <w:sz w:val="36"/>
          <w:szCs w:val="28"/>
        </w:rPr>
      </w:pP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High-Temperature-and-Humidity Reduces Plasma Insulin and Gut Hormones through FXR Activation Accompanied by a Metabolic Compensatory Gut Microbiota</w:t>
      </w:r>
    </w:p>
    <w:p>
      <w:pPr>
        <w:autoSpaceDE w:val="0"/>
        <w:autoSpaceDN w:val="0"/>
        <w:adjustRightInd w:val="0"/>
        <w:ind w:firstLine="320" w:firstLineChars="100"/>
        <w:rPr>
          <w:rFonts w:ascii="Times New Roman" w:hAnsi="Times New Roman" w:cs="Times New Roman"/>
          <w:kern w:val="0"/>
          <w:sz w:val="32"/>
          <w:szCs w:val="24"/>
        </w:rPr>
      </w:pPr>
    </w:p>
    <w:p>
      <w:pPr>
        <w:jc w:val="center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jc w:val="center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jc w:val="center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jc w:val="center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jc w:val="center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cs="Times New Roman" w:eastAsiaTheme="minorEastAsia"/>
          <w:kern w:val="0"/>
          <w:sz w:val="22"/>
          <w:szCs w:val="24"/>
          <w:lang w:val="en-GB" w:eastAsia="zh-CN"/>
        </w:rPr>
      </w:pP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autoSpaceDE w:val="0"/>
        <w:autoSpaceDN w:val="0"/>
        <w:adjustRightInd w:val="0"/>
        <w:jc w:val="left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autoSpaceDE w:val="0"/>
        <w:autoSpaceDN w:val="0"/>
        <w:adjustRightInd w:val="0"/>
        <w:jc w:val="left"/>
        <w:rPr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1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1"/>
        </w:rPr>
        <w:t xml:space="preserve">The PDF file includes: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</w:t>
      </w:r>
      <w:r>
        <w:rPr>
          <w:rFonts w:hint="eastAsia" w:ascii="Times New Roman" w:hAnsi="Times New Roman" w:cs="Times New Roman"/>
          <w:lang w:val="en-US" w:eastAsia="zh-CN"/>
        </w:rPr>
        <w:t xml:space="preserve"> to S2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hint="default" w:eastAsiaTheme="minorEastAsia"/>
          <w:lang w:val="en-US" w:eastAsia="zh-CN"/>
        </w:rPr>
      </w:pPr>
      <w:r>
        <w:rPr>
          <w:rFonts w:ascii="Times New Roman" w:hAnsi="Times New Roman" w:cs="Times New Roman"/>
        </w:rPr>
        <w:t>Figs. S1 to S</w:t>
      </w:r>
      <w:r>
        <w:rPr>
          <w:rFonts w:hint="eastAsia" w:ascii="Times New Roman" w:hAnsi="Times New Roman" w:cs="Times New Roman"/>
          <w:lang w:val="en-US" w:eastAsia="zh-CN"/>
        </w:rPr>
        <w:t>11</w:t>
      </w:r>
    </w:p>
    <w:p/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  <w:r>
        <w:rPr>
          <w:rFonts w:hint="eastAsia" w:ascii="Times New Roman" w:hAnsi="Times New Roman" w:cs="Times New Roman"/>
          <w:szCs w:val="21"/>
        </w:rPr>
        <w:drawing>
          <wp:inline distT="0" distB="0" distL="0" distR="0">
            <wp:extent cx="6188710" cy="33432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Suppmentary Figure 1. Dynamics of blood biochemistry parameters after high-temparature and humidity (HTH) exposure.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(A) Fasting glucose levels. (B) Total cholesterol levels. (C) Triglyceride levels. (D) High-density </w:t>
      </w:r>
      <w:r>
        <w:rPr>
          <w:rFonts w:ascii="Times New Roman" w:hAnsi="Times New Roman" w:cs="Times New Roman"/>
          <w:szCs w:val="21"/>
        </w:rPr>
        <w:t>lipoprotein</w:t>
      </w:r>
      <w:r>
        <w:rPr>
          <w:rFonts w:hint="eastAsia" w:ascii="Times New Roman" w:hAnsi="Times New Roman" w:cs="Times New Roman"/>
          <w:szCs w:val="21"/>
        </w:rPr>
        <w:t xml:space="preserve"> (HDL) levels. (E)Low-density </w:t>
      </w:r>
      <w:r>
        <w:rPr>
          <w:rFonts w:ascii="Times New Roman" w:hAnsi="Times New Roman" w:cs="Times New Roman"/>
          <w:szCs w:val="21"/>
        </w:rPr>
        <w:t>lipoprotein</w:t>
      </w:r>
      <w:r>
        <w:rPr>
          <w:rFonts w:hint="eastAsia" w:ascii="Times New Roman" w:hAnsi="Times New Roman" w:cs="Times New Roman"/>
          <w:szCs w:val="21"/>
        </w:rPr>
        <w:t xml:space="preserve"> (LDL) levels.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657600" cy="2449195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1526" cy="245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Suppmentary Figure 2. Dynamics of plasma level of </w:t>
      </w:r>
      <w:r>
        <w:rPr>
          <w:rFonts w:ascii="Times New Roman" w:hAnsi="Times New Roman" w:cs="Times New Roman"/>
          <w:b/>
          <w:szCs w:val="21"/>
        </w:rPr>
        <w:t xml:space="preserve">glucose-dependent insulinotropic polypeptide (GIP) </w:t>
      </w:r>
      <w:r>
        <w:rPr>
          <w:rFonts w:hint="eastAsia" w:ascii="Times New Roman" w:hAnsi="Times New Roman" w:cs="Times New Roman"/>
          <w:b/>
          <w:szCs w:val="21"/>
        </w:rPr>
        <w:t>after high-temparature and humidity (HTH) exposure.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6188710" cy="369887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9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b/>
          <w:sz w:val="20"/>
          <w:szCs w:val="20"/>
        </w:rPr>
      </w:pPr>
      <w:r>
        <w:rPr>
          <w:rFonts w:hint="eastAsia" w:ascii="Times New Roman" w:hAnsi="Times New Roman" w:cs="Times New Roman"/>
          <w:b/>
          <w:szCs w:val="21"/>
        </w:rPr>
        <w:t xml:space="preserve">Suppmentary Figure 3. </w:t>
      </w:r>
      <w:r>
        <w:rPr>
          <w:rFonts w:ascii="Times New Roman" w:hAnsi="Times New Roman"/>
          <w:b/>
          <w:sz w:val="20"/>
          <w:szCs w:val="20"/>
        </w:rPr>
        <w:t xml:space="preserve">Community distribution of the </w:t>
      </w:r>
      <w:r>
        <w:rPr>
          <w:rFonts w:ascii="Times New Roman" w:hAnsi="Times New Roman"/>
          <w:b/>
          <w:sz w:val="20"/>
          <w:szCs w:val="20"/>
          <w:lang w:val="en-GB"/>
        </w:rPr>
        <w:t>fecal</w:t>
      </w:r>
      <w:r>
        <w:rPr>
          <w:rFonts w:ascii="Times New Roman" w:hAnsi="Times New Roman"/>
          <w:b/>
          <w:sz w:val="20"/>
          <w:szCs w:val="20"/>
        </w:rPr>
        <w:t xml:space="preserve"> microbiota based on 16s rRNA gene surveys</w:t>
      </w:r>
    </w:p>
    <w:p>
      <w:pPr>
        <w:jc w:val="lef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Alpha diversity was applied</w:t>
      </w:r>
      <w:r>
        <w:rPr>
          <w:rFonts w:ascii="Times New Roman" w:hAnsi="Times New Roman"/>
          <w:sz w:val="20"/>
          <w:szCs w:val="20"/>
          <w:lang w:val="en-GB"/>
        </w:rPr>
        <w:t xml:space="preserve"> to analyse</w:t>
      </w:r>
      <w:r>
        <w:rPr>
          <w:rFonts w:ascii="Times New Roman" w:hAnsi="Times New Roman"/>
          <w:sz w:val="20"/>
          <w:szCs w:val="20"/>
        </w:rPr>
        <w:t xml:space="preserve"> the complexity of species of the NC</w:t>
      </w:r>
      <w:r>
        <w:rPr>
          <w:rFonts w:hint="eastAsia" w:ascii="Times New Roman" w:hAnsi="Times New Roman"/>
          <w:sz w:val="20"/>
          <w:szCs w:val="20"/>
        </w:rPr>
        <w:t xml:space="preserve"> group </w:t>
      </w:r>
      <w:r>
        <w:rPr>
          <w:rFonts w:ascii="Times New Roman" w:hAnsi="Times New Roman"/>
          <w:sz w:val="20"/>
          <w:szCs w:val="20"/>
        </w:rPr>
        <w:t>and HTH</w:t>
      </w:r>
      <w:r>
        <w:rPr>
          <w:rFonts w:hint="eastAsia" w:ascii="Times New Roman" w:hAnsi="Times New Roman"/>
          <w:sz w:val="20"/>
          <w:szCs w:val="20"/>
        </w:rPr>
        <w:t xml:space="preserve"> g</w:t>
      </w:r>
      <w:r>
        <w:rPr>
          <w:rFonts w:ascii="Times New Roman" w:hAnsi="Times New Roman"/>
          <w:sz w:val="20"/>
          <w:szCs w:val="20"/>
        </w:rPr>
        <w:t>roup. (</w:t>
      </w:r>
      <w:r>
        <w:rPr>
          <w:rFonts w:hint="eastAsia"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) Indices of Simpson and (</w:t>
      </w:r>
      <w:r>
        <w:rPr>
          <w:rFonts w:hint="eastAsia" w:ascii="Times New Roman" w:hAnsi="Times New Roman"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>)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Shannon ,</w:t>
      </w:r>
      <w:r>
        <w:rPr>
          <w:rFonts w:hint="eastAsia" w:ascii="Times New Roman" w:hAnsi="Times New Roman"/>
          <w:sz w:val="20"/>
          <w:szCs w:val="20"/>
        </w:rPr>
        <w:t xml:space="preserve"> as well as </w:t>
      </w:r>
      <w:r>
        <w:rPr>
          <w:rFonts w:ascii="Times New Roman" w:hAnsi="Times New Roman"/>
          <w:sz w:val="20"/>
          <w:szCs w:val="20"/>
        </w:rPr>
        <w:t xml:space="preserve">Operational Taxonomic Units (OUT) </w:t>
      </w:r>
      <w:r>
        <w:rPr>
          <w:rFonts w:hint="eastAsia" w:ascii="Times New Roman" w:hAnsi="Times New Roman"/>
          <w:sz w:val="20"/>
          <w:szCs w:val="20"/>
        </w:rPr>
        <w:t>numbers,</w:t>
      </w:r>
      <w:r>
        <w:rPr>
          <w:rFonts w:ascii="Times New Roman" w:hAnsi="Times New Roman"/>
          <w:sz w:val="20"/>
          <w:szCs w:val="20"/>
        </w:rPr>
        <w:t xml:space="preserve"> are displayed. </w:t>
      </w:r>
      <w:r>
        <w:rPr>
          <w:rFonts w:hint="eastAsia" w:ascii="Times New Roman" w:hAnsi="Times New Roman"/>
          <w:sz w:val="20"/>
          <w:szCs w:val="20"/>
        </w:rPr>
        <w:t xml:space="preserve">(D) </w:t>
      </w:r>
      <w:r>
        <w:rPr>
          <w:rFonts w:ascii="Times New Roman" w:hAnsi="Times New Roman"/>
          <w:sz w:val="20"/>
          <w:szCs w:val="20"/>
        </w:rPr>
        <w:t xml:space="preserve">Principal component analysis (PCA) at the </w:t>
      </w:r>
      <w:r>
        <w:rPr>
          <w:rFonts w:hint="eastAsia" w:ascii="Times New Roman" w:hAnsi="Times New Roman"/>
          <w:sz w:val="20"/>
          <w:szCs w:val="20"/>
        </w:rPr>
        <w:t>OTU</w:t>
      </w:r>
      <w:r>
        <w:rPr>
          <w:rFonts w:ascii="Times New Roman" w:hAnsi="Times New Roman"/>
          <w:sz w:val="20"/>
          <w:szCs w:val="20"/>
        </w:rPr>
        <w:t xml:space="preserve"> level. The PCA of all the samples was based on the </w:t>
      </w:r>
      <w:r>
        <w:rPr>
          <w:rFonts w:ascii="Times New Roman" w:hAnsi="Times New Roman"/>
          <w:sz w:val="20"/>
          <w:szCs w:val="20"/>
          <w:lang w:val="en-GB"/>
        </w:rPr>
        <w:t>relative abundance of the</w:t>
      </w:r>
      <w:r>
        <w:rPr>
          <w:rFonts w:ascii="Times New Roman" w:hAnsi="Times New Roman"/>
          <w:sz w:val="20"/>
          <w:szCs w:val="20"/>
        </w:rPr>
        <w:t xml:space="preserve"> OTUs. </w:t>
      </w:r>
      <w:r>
        <w:rPr>
          <w:rFonts w:hint="eastAsia" w:ascii="Times New Roman" w:hAnsi="Times New Roman"/>
          <w:sz w:val="20"/>
          <w:szCs w:val="20"/>
        </w:rPr>
        <w:t xml:space="preserve">Percentiles </w:t>
      </w:r>
      <w:r>
        <w:rPr>
          <w:rFonts w:ascii="Times New Roman" w:hAnsi="Times New Roman"/>
          <w:sz w:val="20"/>
          <w:szCs w:val="20"/>
        </w:rPr>
        <w:t>represent the contributions of principal components to differences among samples.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4897755" cy="626618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136" cy="626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Figure 4. The comparison of relative proportion of top 30 enriched genus between the HTH group and NC group at week 1.</w:t>
      </w:r>
    </w:p>
    <w:p>
      <w:pPr>
        <w:widowControl/>
        <w:ind w:left="103" w:hanging="102" w:hangingChars="49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>&lt;0.05, **: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 xml:space="preserve">&lt;0.01 respectively analyzed with Mann-Whitney </w:t>
      </w:r>
      <w:r>
        <w:rPr>
          <w:rFonts w:ascii="Times New Roman" w:hAnsi="Times New Roman" w:cs="Times New Roman"/>
          <w:szCs w:val="21"/>
        </w:rPr>
        <w:t>non-parametric</w:t>
      </w:r>
      <w:r>
        <w:rPr>
          <w:rFonts w:hint="eastAsia" w:ascii="Times New Roman" w:hAnsi="Times New Roman" w:cs="Times New Roman"/>
          <w:szCs w:val="21"/>
        </w:rPr>
        <w:t xml:space="preserve"> test.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4897755" cy="6266180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136" cy="626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Cs w:val="21"/>
        </w:rPr>
        <w:t xml:space="preserve"> </w:t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Figure 5. The comparison of relative proportion of top 30 enriched genus between the HTH group and NC group at week 2.</w:t>
      </w:r>
    </w:p>
    <w:p>
      <w:pPr>
        <w:widowControl/>
        <w:ind w:left="103" w:hanging="102" w:hangingChars="49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>&lt;0.05, **: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 xml:space="preserve">&lt;0.01 respectively analyzed with Mann-Whitney </w:t>
      </w:r>
      <w:r>
        <w:rPr>
          <w:rFonts w:ascii="Times New Roman" w:hAnsi="Times New Roman" w:cs="Times New Roman"/>
          <w:szCs w:val="21"/>
        </w:rPr>
        <w:t>non-parametric</w:t>
      </w:r>
      <w:r>
        <w:rPr>
          <w:rFonts w:hint="eastAsia" w:ascii="Times New Roman" w:hAnsi="Times New Roman" w:cs="Times New Roman"/>
          <w:szCs w:val="21"/>
        </w:rPr>
        <w:t xml:space="preserve"> test.</w:t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4897755" cy="6266180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136" cy="626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Figure 6. The comparison of relative proportion of top 30 enriched genus between the HTH group and NC group at week 4.</w:t>
      </w:r>
    </w:p>
    <w:p>
      <w:pPr>
        <w:widowControl/>
        <w:ind w:left="103" w:hanging="102" w:hangingChars="49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>&lt;0.05, **: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 xml:space="preserve">&lt;0.01 respectively analyzed with Mann-Whitney </w:t>
      </w:r>
      <w:r>
        <w:rPr>
          <w:rFonts w:ascii="Times New Roman" w:hAnsi="Times New Roman" w:cs="Times New Roman"/>
          <w:szCs w:val="21"/>
        </w:rPr>
        <w:t>non-parametric</w:t>
      </w:r>
      <w:r>
        <w:rPr>
          <w:rFonts w:hint="eastAsia" w:ascii="Times New Roman" w:hAnsi="Times New Roman" w:cs="Times New Roman"/>
          <w:szCs w:val="21"/>
        </w:rPr>
        <w:t xml:space="preserve"> test.</w:t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4897755" cy="6266180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136" cy="626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Figure 7. The comparison of relative proportion of top 30 enriched genus between the HTH group and NC group at week 6.</w:t>
      </w:r>
    </w:p>
    <w:p>
      <w:pPr>
        <w:widowControl/>
        <w:ind w:left="103" w:hanging="102" w:hangingChars="49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>&lt;0.05, **: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 xml:space="preserve">&lt;0.01 respectively analyzed with Mann-Whitney </w:t>
      </w:r>
      <w:r>
        <w:rPr>
          <w:rFonts w:ascii="Times New Roman" w:hAnsi="Times New Roman" w:cs="Times New Roman"/>
          <w:szCs w:val="21"/>
        </w:rPr>
        <w:t>non-parametric</w:t>
      </w:r>
      <w:r>
        <w:rPr>
          <w:rFonts w:hint="eastAsia" w:ascii="Times New Roman" w:hAnsi="Times New Roman" w:cs="Times New Roman"/>
          <w:szCs w:val="21"/>
        </w:rPr>
        <w:t xml:space="preserve"> test.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4897755" cy="6266180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136" cy="626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Figure 8. The comparison of relative proportion of top 30 enriched genera between the HTH group and NC group at week 8.</w:t>
      </w:r>
    </w:p>
    <w:p>
      <w:pPr>
        <w:widowControl/>
        <w:ind w:left="103" w:hanging="102" w:hangingChars="49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>&lt;0.05, **:</w:t>
      </w:r>
      <w:r>
        <w:rPr>
          <w:rFonts w:hint="eastAsia" w:ascii="Times New Roman" w:hAnsi="Times New Roman" w:cs="Times New Roman"/>
          <w:i/>
          <w:szCs w:val="21"/>
        </w:rPr>
        <w:t>P</w:t>
      </w:r>
      <w:r>
        <w:rPr>
          <w:rFonts w:hint="eastAsia" w:ascii="Times New Roman" w:hAnsi="Times New Roman" w:cs="Times New Roman"/>
          <w:szCs w:val="21"/>
        </w:rPr>
        <w:t xml:space="preserve">&lt;0.01 respectively analyzed with Mann-Whitney </w:t>
      </w:r>
      <w:r>
        <w:rPr>
          <w:rFonts w:ascii="Times New Roman" w:hAnsi="Times New Roman" w:cs="Times New Roman"/>
          <w:szCs w:val="21"/>
        </w:rPr>
        <w:t>non-parametric</w:t>
      </w:r>
      <w:r>
        <w:rPr>
          <w:rFonts w:hint="eastAsia" w:ascii="Times New Roman" w:hAnsi="Times New Roman" w:cs="Times New Roman"/>
          <w:szCs w:val="21"/>
        </w:rPr>
        <w:t xml:space="preserve"> test.</w:t>
      </w: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6188710" cy="36874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Suppmentary Figure 9. The predicted functional KEGG </w:t>
      </w:r>
      <w:r>
        <w:rPr>
          <w:rFonts w:ascii="Times New Roman" w:hAnsi="Times New Roman" w:cs="Times New Roman"/>
          <w:b/>
          <w:szCs w:val="21"/>
        </w:rPr>
        <w:t>pathways</w:t>
      </w:r>
      <w:r>
        <w:rPr>
          <w:rFonts w:hint="eastAsia" w:ascii="Times New Roman" w:hAnsi="Times New Roman" w:cs="Times New Roman"/>
          <w:b/>
          <w:szCs w:val="21"/>
        </w:rPr>
        <w:t xml:space="preserve"> differentially enriched between HTH group and NC group. (Ranked by </w:t>
      </w:r>
      <w:r>
        <w:rPr>
          <w:rFonts w:hint="eastAsia" w:ascii="Times New Roman" w:hAnsi="Times New Roman" w:cs="Times New Roman"/>
          <w:b/>
          <w:i/>
          <w:szCs w:val="21"/>
        </w:rPr>
        <w:t>P</w:t>
      </w:r>
      <w:r>
        <w:rPr>
          <w:rFonts w:hint="eastAsia" w:ascii="Times New Roman" w:hAnsi="Times New Roman" w:cs="Times New Roman"/>
          <w:b/>
          <w:szCs w:val="21"/>
        </w:rPr>
        <w:t xml:space="preserve">-values with direction from </w:t>
      </w:r>
      <w:r>
        <w:rPr>
          <w:rFonts w:ascii="Times New Roman" w:hAnsi="Times New Roman" w:cs="Times New Roman"/>
          <w:b/>
          <w:szCs w:val="21"/>
        </w:rPr>
        <w:t>bottom</w:t>
      </w:r>
      <w:r>
        <w:rPr>
          <w:rFonts w:hint="eastAsia" w:ascii="Times New Roman" w:hAnsi="Times New Roman" w:cs="Times New Roman"/>
          <w:b/>
          <w:szCs w:val="21"/>
        </w:rPr>
        <w:t xml:space="preserve"> to top).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ind w:left="103" w:hanging="103" w:hangingChars="49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6188710" cy="37128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Suppmentary Figure 10. Dynamics of blood biochemistry parameters and gut hormones in germ-free (GF) mice received fecal microbiota transfer (FMT) from high-temparature and humidity (HTH) </w:t>
      </w:r>
      <w:r>
        <w:rPr>
          <w:rFonts w:ascii="Times New Roman" w:hAnsi="Times New Roman" w:cs="Times New Roman"/>
          <w:b/>
          <w:szCs w:val="21"/>
        </w:rPr>
        <w:t>expos</w:t>
      </w:r>
      <w:r>
        <w:rPr>
          <w:rFonts w:hint="eastAsia" w:ascii="Times New Roman" w:hAnsi="Times New Roman" w:cs="Times New Roman"/>
          <w:b/>
          <w:szCs w:val="21"/>
        </w:rPr>
        <w:t>ed mice at week 4 and week 8.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6188710" cy="2092325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Suppmentary Figure 11. The </w:t>
      </w:r>
      <w:r>
        <w:rPr>
          <w:rFonts w:ascii="Times New Roman" w:hAnsi="Times New Roman" w:cs="Times New Roman"/>
          <w:b/>
          <w:szCs w:val="21"/>
        </w:rPr>
        <w:t xml:space="preserve">MS data validation </w:t>
      </w:r>
      <w:r>
        <w:rPr>
          <w:rFonts w:hint="eastAsia" w:ascii="Times New Roman" w:hAnsi="Times New Roman" w:cs="Times New Roman"/>
          <w:b/>
          <w:szCs w:val="21"/>
        </w:rPr>
        <w:t xml:space="preserve">of </w:t>
      </w:r>
      <w:r>
        <w:rPr>
          <w:rFonts w:ascii="Times New Roman" w:hAnsi="Times New Roman" w:cs="Times New Roman"/>
          <w:b/>
          <w:szCs w:val="21"/>
        </w:rPr>
        <w:t>TMT and LC-MS/MS proteomic analysis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(A) Mass error distribution. (B) Peptide IonScore. (C) The distribution of peptide length.</w:t>
      </w:r>
    </w:p>
    <w:p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Table 1. Mediation analysis of the gut bacteria on bio-clinical parameters induced by environmental high-temperature-and-humidity (HTH).</w:t>
      </w:r>
    </w:p>
    <w:tbl>
      <w:tblPr>
        <w:tblStyle w:val="5"/>
        <w:tblW w:w="965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5"/>
        <w:gridCol w:w="1595"/>
        <w:gridCol w:w="1103"/>
        <w:gridCol w:w="1150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AEEF3" w:themeFill="accent5" w:themeFillTint="33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Mediator genus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AEEF3" w:themeFill="accent5" w:themeFillTint="33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Outcome</w:t>
            </w: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AEEF3" w:themeFill="accent5" w:themeFillTint="33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ACME.p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AEEF3" w:themeFill="accent5" w:themeFillTint="33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ADE.p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AEEF3" w:themeFill="accent5" w:themeFillTint="33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prop.mediated</w:t>
            </w:r>
          </w:p>
        </w:tc>
      </w:tr>
      <w:tr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Mucispirillum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GLP1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&lt;2e-16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Helicobacter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GLP1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&lt;2e-16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-0.18</w:t>
            </w:r>
            <w:r>
              <w:rPr>
                <w:rFonts w:hint="eastAsia" w:ascii="Times New Roman" w:hAnsi="Times New Roman" w:eastAsia="等线" w:cs="Times New Roman"/>
                <w:b/>
                <w:color w:val="0070C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Acinetobacter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GLP1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&lt;2e-16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Acinetobacter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GHRL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&lt;2e-16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Eubacterium_nodatum_group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GHRL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C00000"/>
                <w:kern w:val="0"/>
                <w:sz w:val="22"/>
              </w:rPr>
              <w:t>0.227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Lachnoclostridium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INS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&lt;2e-16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-0.14</w:t>
            </w:r>
            <w:r>
              <w:rPr>
                <w:rFonts w:hint="eastAsia" w:ascii="Times New Roman" w:hAnsi="Times New Roman" w:eastAsia="等线" w:cs="Times New Roman"/>
                <w:b/>
                <w:color w:val="0070C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Ruminococcaceae_UCG-013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INS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&lt;2e-16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-0.12</w:t>
            </w:r>
            <w:r>
              <w:rPr>
                <w:rFonts w:hint="eastAsia" w:ascii="Times New Roman" w:hAnsi="Times New Roman" w:eastAsia="等线" w:cs="Times New Roman"/>
                <w:b/>
                <w:color w:val="0070C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GCA-900066575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-0.56</w:t>
            </w:r>
            <w:r>
              <w:rPr>
                <w:rFonts w:hint="eastAsia" w:ascii="Times New Roman" w:hAnsi="Times New Roman" w:eastAsia="等线" w:cs="Times New Roman"/>
                <w:b/>
                <w:color w:val="0070C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Hydrogenophaga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0.9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FF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C00000"/>
                <w:kern w:val="0"/>
                <w:sz w:val="22"/>
              </w:rPr>
              <w:t>0.48</w:t>
            </w:r>
            <w:r>
              <w:rPr>
                <w:rFonts w:hint="eastAsia" w:ascii="Times New Roman" w:hAnsi="Times New Roman" w:eastAsia="等线" w:cs="Times New Roman"/>
                <w:b/>
                <w:color w:val="C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Family_XIII_AD3011_group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GC</w:t>
            </w: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Ruminococcaceae_UCG-013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GLU</w:t>
            </w:r>
          </w:p>
        </w:tc>
        <w:tc>
          <w:tcPr>
            <w:tcW w:w="11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11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GCA-900066575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HDL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C00000"/>
                <w:kern w:val="0"/>
                <w:sz w:val="22"/>
              </w:rPr>
              <w:t>0.52</w:t>
            </w:r>
            <w:r>
              <w:rPr>
                <w:rFonts w:hint="eastAsia" w:ascii="Times New Roman" w:hAnsi="Times New Roman" w:eastAsia="等线" w:cs="Times New Roman"/>
                <w:b/>
                <w:color w:val="C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Hydrogenophaga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HDL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0.262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70C0"/>
                <w:kern w:val="0"/>
                <w:sz w:val="22"/>
              </w:rPr>
              <w:t>-0.29</w:t>
            </w:r>
            <w:r>
              <w:rPr>
                <w:rFonts w:hint="eastAsia" w:ascii="Times New Roman" w:hAnsi="Times New Roman" w:eastAsia="等线" w:cs="Times New Roman"/>
                <w:b/>
                <w:color w:val="0070C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i/>
                <w:color w:val="000000"/>
                <w:kern w:val="0"/>
                <w:sz w:val="22"/>
              </w:rPr>
              <w:t>Hydrogenophaga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LDL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color w:val="C00000"/>
                <w:kern w:val="0"/>
                <w:sz w:val="22"/>
              </w:rPr>
              <w:t>0.42</w:t>
            </w:r>
            <w:r>
              <w:rPr>
                <w:rFonts w:hint="eastAsia" w:ascii="Times New Roman" w:hAnsi="Times New Roman" w:eastAsia="等线" w:cs="Times New Roman"/>
                <w:b/>
                <w:color w:val="C00000"/>
                <w:kern w:val="0"/>
                <w:sz w:val="22"/>
              </w:rPr>
              <w:t>3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Note: </w:t>
      </w:r>
      <w:r>
        <w:rPr>
          <w:rFonts w:ascii="Times New Roman" w:hAnsi="Times New Roman" w:cs="Times New Roman"/>
          <w:szCs w:val="21"/>
        </w:rPr>
        <w:t>A</w:t>
      </w:r>
      <w:r>
        <w:rPr>
          <w:rFonts w:hint="eastAsia" w:ascii="Times New Roman" w:hAnsi="Times New Roman" w:cs="Times New Roman"/>
          <w:szCs w:val="21"/>
        </w:rPr>
        <w:t xml:space="preserve">CME.p: P value of </w:t>
      </w:r>
      <w:r>
        <w:rPr>
          <w:rFonts w:ascii="Times New Roman" w:hAnsi="Times New Roman" w:cs="Times New Roman"/>
          <w:szCs w:val="21"/>
        </w:rPr>
        <w:t xml:space="preserve">average causal </w:t>
      </w:r>
      <w:r>
        <w:rPr>
          <w:rFonts w:hint="eastAsia" w:ascii="Times New Roman" w:hAnsi="Times New Roman" w:cs="Times New Roman"/>
          <w:szCs w:val="21"/>
        </w:rPr>
        <w:t>mediation effect.</w:t>
      </w:r>
      <w:r>
        <w:rPr>
          <w:rFonts w:ascii="Times New Roman" w:hAnsi="Times New Roman" w:cs="Times New Roman"/>
          <w:szCs w:val="21"/>
        </w:rPr>
        <w:t xml:space="preserve"> ADE</w:t>
      </w:r>
      <w:r>
        <w:rPr>
          <w:rFonts w:hint="eastAsia" w:ascii="Times New Roman" w:hAnsi="Times New Roman" w:cs="Times New Roman"/>
          <w:szCs w:val="21"/>
        </w:rPr>
        <w:t>.p: P value of a</w:t>
      </w:r>
      <w:r>
        <w:rPr>
          <w:rFonts w:ascii="Times New Roman" w:hAnsi="Times New Roman" w:cs="Times New Roman"/>
          <w:szCs w:val="21"/>
        </w:rPr>
        <w:t xml:space="preserve">verage </w:t>
      </w:r>
      <w:r>
        <w:rPr>
          <w:rFonts w:hint="eastAsia"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irect </w:t>
      </w:r>
      <w:r>
        <w:rPr>
          <w:rFonts w:hint="eastAsia" w:ascii="Times New Roman" w:hAnsi="Times New Roman" w:cs="Times New Roman"/>
          <w:szCs w:val="21"/>
        </w:rPr>
        <w:t>e</w:t>
      </w:r>
      <w:r>
        <w:rPr>
          <w:rFonts w:ascii="Times New Roman" w:hAnsi="Times New Roman" w:cs="Times New Roman"/>
          <w:szCs w:val="21"/>
        </w:rPr>
        <w:t>ffect (the unmediated effect)</w:t>
      </w:r>
      <w:r>
        <w:rPr>
          <w:rFonts w:hint="eastAsia" w:ascii="Times New Roman" w:hAnsi="Times New Roman" w:cs="Times New Roman"/>
          <w:szCs w:val="21"/>
        </w:rPr>
        <w:t>. Prop.mediated: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he proportion of the effect of the predictor on the dependent variable which is mediated，</w:t>
      </w:r>
      <w:r>
        <w:rPr>
          <w:rFonts w:hint="eastAsia" w:ascii="Times New Roman" w:hAnsi="Times New Roman" w:cs="Times New Roman"/>
          <w:szCs w:val="21"/>
        </w:rPr>
        <w:t xml:space="preserve"> which</w:t>
      </w:r>
      <w:r>
        <w:rPr>
          <w:rFonts w:ascii="Times New Roman" w:hAnsi="Times New Roman" w:cs="Times New Roman"/>
          <w:szCs w:val="21"/>
        </w:rPr>
        <w:t xml:space="preserve"> is </w:t>
      </w:r>
      <w:r>
        <w:rPr>
          <w:rFonts w:hint="eastAsia" w:ascii="Times New Roman" w:hAnsi="Times New Roman" w:cs="Times New Roman"/>
          <w:szCs w:val="21"/>
        </w:rPr>
        <w:t xml:space="preserve">computed with </w:t>
      </w:r>
      <w:r>
        <w:rPr>
          <w:rFonts w:ascii="Times New Roman" w:hAnsi="Times New Roman" w:cs="Times New Roman"/>
          <w:szCs w:val="21"/>
        </w:rPr>
        <w:t>ACME divided by Total Effect.</w:t>
      </w:r>
      <w:r>
        <w:rPr>
          <w:rFonts w:hint="eastAsia" w:ascii="Times New Roman" w:hAnsi="Times New Roman" w:cs="Times New Roman"/>
          <w:szCs w:val="21"/>
        </w:rPr>
        <w:t xml:space="preserve"> Numbers in red or blue indicate the proportions of positive contribution or negative contribution respectively.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>
      <w:pPr>
        <w:rPr>
          <w:rFonts w:hint="eastAsia"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Supplementary Table 2. The ileal protein abundance of PKA and CREB target genes.</w:t>
      </w:r>
    </w:p>
    <w:tbl>
      <w:tblPr>
        <w:tblStyle w:val="6"/>
        <w:tblW w:w="892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8"/>
        <w:gridCol w:w="1263"/>
        <w:gridCol w:w="1379"/>
        <w:gridCol w:w="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Protein Name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Gene Name</w:t>
            </w:r>
          </w:p>
        </w:tc>
        <w:tc>
          <w:tcPr>
            <w:tcW w:w="1379" w:type="dxa"/>
            <w:vAlign w:val="bottom"/>
          </w:tcPr>
          <w:p>
            <w:pPr>
              <w:jc w:val="center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hint="eastAsia"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HTH</w:t>
            </w: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NC ratio</w:t>
            </w:r>
          </w:p>
        </w:tc>
        <w:tc>
          <w:tcPr>
            <w:tcW w:w="891" w:type="dxa"/>
            <w:vAlign w:val="bottom"/>
          </w:tcPr>
          <w:p>
            <w:pPr>
              <w:jc w:val="center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hint="eastAsia" w:ascii="Times New Roman" w:hAnsi="Times New Roman" w:cs="Times New Roman"/>
                <w:b/>
                <w:i/>
                <w:color w:val="202020"/>
                <w:sz w:val="18"/>
                <w:szCs w:val="20"/>
                <w:shd w:val="clear" w:color="auto" w:fill="FFFFFF"/>
              </w:rPr>
              <w:t>P</w:t>
            </w:r>
            <w:r>
              <w:rPr>
                <w:rFonts w:hint="eastAsia"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  <w:vAlign w:val="bottom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cAMP-dependent protein kinase type II-alpha regulatory subunit</w:t>
            </w:r>
          </w:p>
        </w:tc>
        <w:tc>
          <w:tcPr>
            <w:tcW w:w="1263" w:type="dxa"/>
            <w:vAlign w:val="bottom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PRKAR2A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 xml:space="preserve">1.009 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 xml:space="preserve">0.019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cAMP-dependent protein kinase type I-alpha regulatory subunit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Cs/>
                <w:sz w:val="18"/>
              </w:rPr>
              <w:t>PRKAR1A</w:t>
            </w:r>
          </w:p>
        </w:tc>
        <w:tc>
          <w:tcPr>
            <w:tcW w:w="1379" w:type="dxa"/>
          </w:tcPr>
          <w:p>
            <w:pPr>
              <w:jc w:val="right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1.0</w:t>
            </w:r>
            <w:r>
              <w:rPr>
                <w:rFonts w:hint="eastAsia"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40</w:t>
            </w:r>
          </w:p>
        </w:tc>
        <w:tc>
          <w:tcPr>
            <w:tcW w:w="891" w:type="dxa"/>
          </w:tcPr>
          <w:p>
            <w:pPr>
              <w:jc w:val="right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0.02</w:t>
            </w:r>
            <w:r>
              <w:rPr>
                <w:rFonts w:hint="eastAsia"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Secretogranin-2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b/>
                <w:iCs/>
                <w:sz w:val="18"/>
              </w:rPr>
            </w:pPr>
            <w:r>
              <w:rPr>
                <w:rFonts w:ascii="Times New Roman" w:hAnsi="Times New Roman" w:cs="Times New Roman"/>
                <w:b/>
                <w:iCs/>
                <w:sz w:val="18"/>
              </w:rPr>
              <w:t>SCG2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1.179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02020"/>
                <w:sz w:val="18"/>
                <w:szCs w:val="20"/>
                <w:shd w:val="clear" w:color="auto" w:fill="FFFFFF"/>
              </w:rPr>
              <w:t>0.038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  <w:vAlign w:val="bottom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cAMP-dependent protein kinase catalytic subunit alpha</w:t>
            </w:r>
          </w:p>
        </w:tc>
        <w:tc>
          <w:tcPr>
            <w:tcW w:w="1263" w:type="dxa"/>
            <w:vAlign w:val="bottom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PRKACA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1.066 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0.062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hint="eastAsia"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B</w:t>
            </w: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icaudal D homolog 1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BICD1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1.106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0.08</w:t>
            </w:r>
            <w:r>
              <w:rPr>
                <w:rFonts w:hint="eastAsia"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  <w:vAlign w:val="bottom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cAMP-dependent protein kinase type II-beta regulatory subunit</w:t>
            </w:r>
          </w:p>
        </w:tc>
        <w:tc>
          <w:tcPr>
            <w:tcW w:w="1263" w:type="dxa"/>
            <w:vAlign w:val="bottom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PRKAR2B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1.090 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0.148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Carboxypeptidase E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CPE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0.948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0.186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  <w:vAlign w:val="bottom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cAMP-dependent protein kinase catalytic subunit beta</w:t>
            </w:r>
          </w:p>
        </w:tc>
        <w:tc>
          <w:tcPr>
            <w:tcW w:w="1263" w:type="dxa"/>
            <w:vAlign w:val="bottom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PRKACB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1.030 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0.212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Secretogranin-1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CHGB</w:t>
            </w:r>
          </w:p>
        </w:tc>
        <w:tc>
          <w:tcPr>
            <w:tcW w:w="1379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1.049</w:t>
            </w:r>
          </w:p>
        </w:tc>
        <w:tc>
          <w:tcPr>
            <w:tcW w:w="891" w:type="dxa"/>
            <w:vAlign w:val="bottom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0.769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Adenylate cyclase type 2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ADCY2</w:t>
            </w: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379" w:type="dxa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Not identified</w:t>
            </w:r>
          </w:p>
        </w:tc>
        <w:tc>
          <w:tcPr>
            <w:tcW w:w="891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gamma-aminobutyric acid type A receptor subunit beta3 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GABRB3</w:t>
            </w:r>
          </w:p>
        </w:tc>
        <w:tc>
          <w:tcPr>
            <w:tcW w:w="1379" w:type="dxa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Not identified</w:t>
            </w:r>
          </w:p>
        </w:tc>
        <w:tc>
          <w:tcPr>
            <w:tcW w:w="891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Brain Expressed X-Linked 1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BEX1</w:t>
            </w:r>
          </w:p>
        </w:tc>
        <w:tc>
          <w:tcPr>
            <w:tcW w:w="1379" w:type="dxa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Not identified</w:t>
            </w:r>
          </w:p>
        </w:tc>
        <w:tc>
          <w:tcPr>
            <w:tcW w:w="891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8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Secretogranin-3</w:t>
            </w:r>
          </w:p>
        </w:tc>
        <w:tc>
          <w:tcPr>
            <w:tcW w:w="1263" w:type="dxa"/>
          </w:tcPr>
          <w:p>
            <w:pPr>
              <w:rPr>
                <w:rFonts w:ascii="Times New Roman" w:hAnsi="Times New Roman" w:cs="Times New Roman"/>
                <w:iCs/>
                <w:sz w:val="18"/>
              </w:rPr>
            </w:pPr>
            <w:r>
              <w:rPr>
                <w:rFonts w:ascii="Times New Roman" w:hAnsi="Times New Roman" w:cs="Times New Roman"/>
                <w:iCs/>
                <w:sz w:val="18"/>
              </w:rPr>
              <w:t>SCG3</w:t>
            </w:r>
          </w:p>
        </w:tc>
        <w:tc>
          <w:tcPr>
            <w:tcW w:w="1379" w:type="dxa"/>
          </w:tcPr>
          <w:p>
            <w:pPr>
              <w:jc w:val="right"/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  <w:t>Not identified</w:t>
            </w:r>
          </w:p>
        </w:tc>
        <w:tc>
          <w:tcPr>
            <w:tcW w:w="891" w:type="dxa"/>
          </w:tcPr>
          <w:p>
            <w:pPr>
              <w:rPr>
                <w:rFonts w:ascii="Times New Roman" w:hAnsi="Times New Roman" w:cs="Times New Roman"/>
                <w:color w:val="202020"/>
                <w:sz w:val="18"/>
                <w:szCs w:val="20"/>
                <w:shd w:val="clear" w:color="auto" w:fill="FFFFFF"/>
              </w:rPr>
            </w:pPr>
          </w:p>
        </w:tc>
      </w:tr>
    </w:tbl>
    <w:p>
      <w:pPr>
        <w:rPr>
          <w:rFonts w:ascii="Times New Roman" w:hAnsi="Times New Roman" w:cs="Times New Roman"/>
          <w:b/>
          <w:color w:val="202020"/>
          <w:sz w:val="18"/>
          <w:szCs w:val="20"/>
          <w:shd w:val="clear" w:color="auto" w:fill="FFFFFF"/>
        </w:rPr>
      </w:pPr>
      <w:r>
        <w:rPr>
          <w:rFonts w:hint="eastAsia" w:ascii="Times New Roman" w:hAnsi="Times New Roman" w:cs="Times New Roman"/>
          <w:b/>
          <w:color w:val="202020"/>
          <w:sz w:val="18"/>
          <w:szCs w:val="20"/>
          <w:shd w:val="clear" w:color="auto" w:fill="FFFFFF"/>
        </w:rPr>
        <w:t xml:space="preserve">Note: HTH: </w:t>
      </w:r>
      <w:r>
        <w:rPr>
          <w:rFonts w:hint="eastAsia" w:ascii="Times New Roman" w:hAnsi="Times New Roman" w:cs="Times New Roman"/>
          <w:b/>
          <w:szCs w:val="21"/>
        </w:rPr>
        <w:t>high-temperature-and-humidity (HTH). NC: normal control.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ZmZkMGYyNmMwNTkxZmYyY2RjYzA3ZjQ1ZWE3YjYifQ=="/>
  </w:docVars>
  <w:rsids>
    <w:rsidRoot w:val="00F63612"/>
    <w:rsid w:val="00072733"/>
    <w:rsid w:val="000A3167"/>
    <w:rsid w:val="0011137A"/>
    <w:rsid w:val="00152062"/>
    <w:rsid w:val="001D0273"/>
    <w:rsid w:val="001E5D38"/>
    <w:rsid w:val="002131C4"/>
    <w:rsid w:val="0023106B"/>
    <w:rsid w:val="002C0FAA"/>
    <w:rsid w:val="002F1C36"/>
    <w:rsid w:val="0035463A"/>
    <w:rsid w:val="004A5C88"/>
    <w:rsid w:val="00560878"/>
    <w:rsid w:val="00707925"/>
    <w:rsid w:val="0075540A"/>
    <w:rsid w:val="007E5425"/>
    <w:rsid w:val="00886AD1"/>
    <w:rsid w:val="0094293F"/>
    <w:rsid w:val="009F382F"/>
    <w:rsid w:val="00A23720"/>
    <w:rsid w:val="00A74296"/>
    <w:rsid w:val="00AC40CC"/>
    <w:rsid w:val="00AF2662"/>
    <w:rsid w:val="00AF7647"/>
    <w:rsid w:val="00B00B3B"/>
    <w:rsid w:val="00B85FC0"/>
    <w:rsid w:val="00C257CF"/>
    <w:rsid w:val="00CF7226"/>
    <w:rsid w:val="00DC5AC1"/>
    <w:rsid w:val="00E65B75"/>
    <w:rsid w:val="00E93045"/>
    <w:rsid w:val="00EC2CD1"/>
    <w:rsid w:val="00EE0F04"/>
    <w:rsid w:val="00EE7B8A"/>
    <w:rsid w:val="00F6251C"/>
    <w:rsid w:val="00F63612"/>
    <w:rsid w:val="00FB69B2"/>
    <w:rsid w:val="03650512"/>
    <w:rsid w:val="1433662F"/>
    <w:rsid w:val="1AB63126"/>
    <w:rsid w:val="1ABC23F0"/>
    <w:rsid w:val="27012363"/>
    <w:rsid w:val="2D16402F"/>
    <w:rsid w:val="5F981AA1"/>
    <w:rsid w:val="7B84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724</Words>
  <Characters>4522</Characters>
  <Lines>36</Lines>
  <Paragraphs>10</Paragraphs>
  <TotalTime>1</TotalTime>
  <ScaleCrop>false</ScaleCrop>
  <LinksUpToDate>false</LinksUpToDate>
  <CharactersWithSpaces>5101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2022-06-19T07:00:00Z</dcterms:created>
  <dc:creator>陈颂</dc:creator>
  <cp:lastModifiedBy>蘑菇蘑菇我是西兰花</cp:lastModifiedBy>
  <dcterms:modified xsi:type="dcterms:W3CDTF">2022-08-04T13:48:01Z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D409AD61B6944A1297CEB3A76E0D42BA</vt:lpwstr>
  </property>
</Properties>
</file>