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2935" w:rsidRDefault="00402935" w:rsidP="00402935">
      <w:pPr>
        <w:jc w:val="both"/>
        <w:rPr>
          <w:b/>
          <w:bCs/>
        </w:rPr>
      </w:pPr>
      <w:r w:rsidRPr="00B65E96">
        <w:rPr>
          <w:b/>
          <w:bCs/>
        </w:rPr>
        <w:t>APPENDIX</w:t>
      </w:r>
    </w:p>
    <w:p w:rsidR="00402935" w:rsidRPr="00CF0D22" w:rsidRDefault="00402935" w:rsidP="00402935">
      <w:pPr>
        <w:pStyle w:val="ListParagraph"/>
        <w:numPr>
          <w:ilvl w:val="0"/>
          <w:numId w:val="1"/>
        </w:numPr>
        <w:jc w:val="both"/>
      </w:pPr>
      <w:r>
        <w:t xml:space="preserve">Run Chart rules for identifying nonrandom signals of change (reproduced with permission from </w:t>
      </w:r>
      <w:r>
        <w:fldChar w:fldCharType="begin"/>
      </w:r>
      <w:r>
        <w:instrText xml:space="preserve"> ADDIN EN.CITE &lt;EndNote&gt;&lt;Cite&gt;&lt;Author&gt;Provost&lt;/Author&gt;&lt;Year&gt;2011&lt;/Year&gt;&lt;RecNum&gt;221&lt;/RecNum&gt;&lt;DisplayText&gt;[7]&lt;/DisplayText&gt;&lt;record&gt;&lt;rec-number&gt;221&lt;/rec-number&gt;&lt;foreign-keys&gt;&lt;key app="EN" db-id="d2az2zftg5w2fced0e85erayv0s0trvrwz9z" timestamp="1652806598" guid="9cf7ebb8-1728-4d36-87eb-72919e698770"&gt;221&lt;/key&gt;&lt;/foreign-keys&gt;&lt;ref-type name="Book"&gt;6&lt;/ref-type&gt;&lt;contributors&gt;&lt;authors&gt;&lt;author&gt;Provost, Lloyd P&lt;/author&gt;&lt;author&gt;Murray, Sandra&lt;/author&gt;&lt;/authors&gt;&lt;/contributors&gt;&lt;titles&gt;&lt;title&gt;The health care data guide: learning from data for improvement&lt;/title&gt;&lt;/titles&gt;&lt;dates&gt;&lt;year&gt;2011&lt;/year&gt;&lt;/dates&gt;&lt;publisher&gt;John Wiley &amp;amp; Sons&lt;/publisher&gt;&lt;isbn&gt;0470902582&lt;/isbn&gt;&lt;urls&gt;&lt;/urls&gt;&lt;/record&gt;&lt;/Cite&gt;&lt;/EndNote&gt;</w:instrText>
      </w:r>
      <w:r>
        <w:fldChar w:fldCharType="separate"/>
      </w:r>
      <w:r>
        <w:rPr>
          <w:noProof/>
        </w:rPr>
        <w:t>[7]</w:t>
      </w:r>
      <w:r>
        <w:fldChar w:fldCharType="end"/>
      </w:r>
      <w:r>
        <w:t>)</w:t>
      </w:r>
    </w:p>
    <w:p w:rsidR="00402935" w:rsidRDefault="00402935" w:rsidP="00402935">
      <w:pPr>
        <w:rPr>
          <w:b/>
          <w:bCs/>
        </w:rPr>
      </w:pPr>
      <w:r w:rsidRPr="00CF0D22">
        <w:rPr>
          <w:b/>
          <w:bCs/>
          <w:noProof/>
          <w:lang w:val="en-US"/>
        </w:rPr>
        <w:drawing>
          <wp:inline distT="0" distB="0" distL="0" distR="0" wp14:anchorId="4290C368" wp14:editId="46A541C0">
            <wp:extent cx="5362575" cy="307657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575" cy="307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2935" w:rsidRPr="00B65E96" w:rsidRDefault="00402935" w:rsidP="0040293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B65E96">
        <w:rPr>
          <w:rFonts w:cstheme="minorHAnsi"/>
          <w:b/>
          <w:bCs/>
        </w:rPr>
        <w:t xml:space="preserve">Rule One—Shift: </w:t>
      </w:r>
      <w:r w:rsidRPr="00B65E96">
        <w:rPr>
          <w:rFonts w:cstheme="minorHAnsi"/>
          <w:i/>
          <w:iCs/>
        </w:rPr>
        <w:t xml:space="preserve">Six </w:t>
      </w:r>
      <w:r w:rsidRPr="00B65E96">
        <w:rPr>
          <w:rFonts w:cstheme="minorHAnsi"/>
        </w:rPr>
        <w:t>or more consecutive points either all above or all below the</w:t>
      </w:r>
      <w:r>
        <w:rPr>
          <w:rFonts w:cstheme="minorHAnsi"/>
        </w:rPr>
        <w:t xml:space="preserve"> </w:t>
      </w:r>
      <w:r w:rsidRPr="00B65E96">
        <w:rPr>
          <w:rFonts w:cstheme="minorHAnsi"/>
        </w:rPr>
        <w:t>median. Values that fall on the median do not add to nor break a shift. Skip values</w:t>
      </w:r>
      <w:r>
        <w:rPr>
          <w:rFonts w:cstheme="minorHAnsi"/>
        </w:rPr>
        <w:t xml:space="preserve"> </w:t>
      </w:r>
      <w:r w:rsidRPr="00B65E96">
        <w:rPr>
          <w:rFonts w:cstheme="minorHAnsi"/>
        </w:rPr>
        <w:t>that fall on the median and continue</w:t>
      </w:r>
      <w:r>
        <w:rPr>
          <w:rFonts w:cstheme="minorHAnsi"/>
        </w:rPr>
        <w:t xml:space="preserve"> </w:t>
      </w:r>
      <w:r w:rsidRPr="00B65E96">
        <w:rPr>
          <w:rFonts w:cstheme="minorHAnsi"/>
        </w:rPr>
        <w:t>counting. The decision rule of 6 comes from a</w:t>
      </w:r>
      <w:r>
        <w:rPr>
          <w:rFonts w:cstheme="minorHAnsi"/>
        </w:rPr>
        <w:t xml:space="preserve"> </w:t>
      </w:r>
      <w:r w:rsidRPr="00B65E96">
        <w:rPr>
          <w:rFonts w:cstheme="minorHAnsi"/>
        </w:rPr>
        <w:t>simple probability calculation of an event with a 50% probability happening six times</w:t>
      </w:r>
      <w:r>
        <w:rPr>
          <w:rFonts w:cstheme="minorHAnsi"/>
        </w:rPr>
        <w:t xml:space="preserve"> </w:t>
      </w:r>
      <w:r w:rsidRPr="00B65E96">
        <w:rPr>
          <w:rFonts w:cstheme="minorHAnsi"/>
        </w:rPr>
        <w:t>in a row (P</w:t>
      </w:r>
      <w:r>
        <w:rPr>
          <w:rFonts w:cstheme="minorHAnsi"/>
        </w:rPr>
        <w:t>=</w:t>
      </w:r>
      <w:r w:rsidRPr="00B65E96">
        <w:rPr>
          <w:rFonts w:cstheme="minorHAnsi"/>
        </w:rPr>
        <w:t>0.03 for 6 points either above or below the median, which</w:t>
      </w:r>
      <w:r>
        <w:rPr>
          <w:rFonts w:cstheme="minorHAnsi"/>
        </w:rPr>
        <w:t xml:space="preserve"> </w:t>
      </w:r>
      <w:r w:rsidRPr="00B65E96">
        <w:rPr>
          <w:rFonts w:cstheme="minorHAnsi"/>
        </w:rPr>
        <w:t>is less than</w:t>
      </w:r>
      <w:r>
        <w:rPr>
          <w:rFonts w:cstheme="minorHAnsi"/>
        </w:rPr>
        <w:t xml:space="preserve"> </w:t>
      </w:r>
      <w:r w:rsidRPr="00B65E96">
        <w:rPr>
          <w:rFonts w:cstheme="minorHAnsi"/>
        </w:rPr>
        <w:t>P</w:t>
      </w:r>
      <w:r>
        <w:rPr>
          <w:rFonts w:cstheme="minorHAnsi"/>
        </w:rPr>
        <w:t>=</w:t>
      </w:r>
      <w:r w:rsidRPr="00B65E96">
        <w:rPr>
          <w:rFonts w:cstheme="minorHAnsi"/>
        </w:rPr>
        <w:t>0.05).</w:t>
      </w:r>
    </w:p>
    <w:p w:rsidR="00402935" w:rsidRDefault="00402935" w:rsidP="0040293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</w:rPr>
      </w:pPr>
    </w:p>
    <w:p w:rsidR="00402935" w:rsidRPr="00B65E96" w:rsidRDefault="00402935" w:rsidP="0040293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B65E96">
        <w:rPr>
          <w:rFonts w:cstheme="minorHAnsi"/>
          <w:b/>
          <w:bCs/>
        </w:rPr>
        <w:t xml:space="preserve">Rule Two—Trend: </w:t>
      </w:r>
      <w:r w:rsidRPr="00B65E96">
        <w:rPr>
          <w:rFonts w:cstheme="minorHAnsi"/>
          <w:i/>
          <w:iCs/>
        </w:rPr>
        <w:t xml:space="preserve">Five </w:t>
      </w:r>
      <w:r w:rsidRPr="00B65E96">
        <w:rPr>
          <w:rFonts w:cstheme="minorHAnsi"/>
        </w:rPr>
        <w:t>or more consecutive points all going up or all going</w:t>
      </w:r>
      <w:r>
        <w:rPr>
          <w:rFonts w:cstheme="minorHAnsi"/>
        </w:rPr>
        <w:t xml:space="preserve"> </w:t>
      </w:r>
      <w:r w:rsidRPr="00B65E96">
        <w:rPr>
          <w:rFonts w:cstheme="minorHAnsi"/>
        </w:rPr>
        <w:t>down. If the value of two</w:t>
      </w:r>
      <w:r>
        <w:rPr>
          <w:rFonts w:cstheme="minorHAnsi"/>
        </w:rPr>
        <w:t xml:space="preserve"> </w:t>
      </w:r>
      <w:r w:rsidRPr="00B65E96">
        <w:rPr>
          <w:rFonts w:cstheme="minorHAnsi"/>
        </w:rPr>
        <w:t>or more successive points is the same, ignore the like</w:t>
      </w:r>
      <w:r>
        <w:rPr>
          <w:rFonts w:cstheme="minorHAnsi"/>
        </w:rPr>
        <w:t xml:space="preserve"> </w:t>
      </w:r>
      <w:r w:rsidRPr="00B65E96">
        <w:rPr>
          <w:rFonts w:cstheme="minorHAnsi"/>
        </w:rPr>
        <w:t xml:space="preserve">points when counting; like values do not make or break a trend. </w:t>
      </w:r>
    </w:p>
    <w:p w:rsidR="00402935" w:rsidRDefault="00402935" w:rsidP="0040293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</w:rPr>
      </w:pPr>
    </w:p>
    <w:p w:rsidR="00402935" w:rsidRPr="00B65E96" w:rsidRDefault="00402935" w:rsidP="0040293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B65E96">
        <w:rPr>
          <w:rFonts w:cstheme="minorHAnsi"/>
          <w:b/>
          <w:bCs/>
        </w:rPr>
        <w:t>Rule Three—Runs</w:t>
      </w:r>
      <w:r w:rsidRPr="00B65E96">
        <w:rPr>
          <w:rFonts w:cstheme="minorHAnsi"/>
        </w:rPr>
        <w:t>: A nonrandom pattern is signaled by too few or too many runs,</w:t>
      </w:r>
      <w:r>
        <w:rPr>
          <w:rFonts w:cstheme="minorHAnsi"/>
        </w:rPr>
        <w:t xml:space="preserve"> </w:t>
      </w:r>
      <w:r w:rsidRPr="00B65E96">
        <w:rPr>
          <w:rFonts w:cstheme="minorHAnsi"/>
        </w:rPr>
        <w:t>or crossings of the</w:t>
      </w:r>
      <w:r>
        <w:rPr>
          <w:rFonts w:cstheme="minorHAnsi"/>
        </w:rPr>
        <w:t xml:space="preserve"> </w:t>
      </w:r>
      <w:r w:rsidRPr="00B65E96">
        <w:rPr>
          <w:rFonts w:cstheme="minorHAnsi"/>
        </w:rPr>
        <w:t>median line. A run is a series of points in a row on one side of the</w:t>
      </w:r>
      <w:r>
        <w:rPr>
          <w:rFonts w:cstheme="minorHAnsi"/>
        </w:rPr>
        <w:t xml:space="preserve"> </w:t>
      </w:r>
      <w:r w:rsidRPr="00B65E96">
        <w:rPr>
          <w:rFonts w:cstheme="minorHAnsi"/>
        </w:rPr>
        <w:t>median. Some points fall right on the median, which makes it hard to decide which</w:t>
      </w:r>
      <w:r>
        <w:rPr>
          <w:rFonts w:cstheme="minorHAnsi"/>
        </w:rPr>
        <w:t xml:space="preserve"> </w:t>
      </w:r>
      <w:r w:rsidRPr="00B65E96">
        <w:rPr>
          <w:rFonts w:cstheme="minorHAnsi"/>
        </w:rPr>
        <w:t>run these points belong to. So, an easy way to determine the number of runs is to</w:t>
      </w:r>
      <w:r>
        <w:rPr>
          <w:rFonts w:cstheme="minorHAnsi"/>
        </w:rPr>
        <w:t xml:space="preserve"> </w:t>
      </w:r>
      <w:r w:rsidRPr="00B65E96">
        <w:rPr>
          <w:rFonts w:cstheme="minorHAnsi"/>
        </w:rPr>
        <w:t>count the number of times the line connecting the data points crosses the median and</w:t>
      </w:r>
      <w:r>
        <w:rPr>
          <w:rFonts w:cstheme="minorHAnsi"/>
        </w:rPr>
        <w:t xml:space="preserve"> </w:t>
      </w:r>
      <w:r w:rsidRPr="00B65E96">
        <w:rPr>
          <w:rFonts w:cstheme="minorHAnsi"/>
        </w:rPr>
        <w:t xml:space="preserve">add one. The data line must </w:t>
      </w:r>
      <w:r w:rsidRPr="00984D76">
        <w:rPr>
          <w:rFonts w:cstheme="minorHAnsi"/>
        </w:rPr>
        <w:t>cross</w:t>
      </w:r>
      <w:r w:rsidRPr="00B65E96">
        <w:rPr>
          <w:rFonts w:cstheme="minorHAnsi"/>
        </w:rPr>
        <w:t xml:space="preserve"> the median in order to signify</w:t>
      </w:r>
      <w:r>
        <w:rPr>
          <w:rFonts w:cstheme="minorHAnsi"/>
        </w:rPr>
        <w:t xml:space="preserve"> </w:t>
      </w:r>
      <w:r w:rsidRPr="00B65E96">
        <w:rPr>
          <w:rFonts w:cstheme="minorHAnsi"/>
        </w:rPr>
        <w:t xml:space="preserve">that a new run has begun. </w:t>
      </w:r>
    </w:p>
    <w:p w:rsidR="00402935" w:rsidRDefault="00402935" w:rsidP="0040293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</w:rPr>
      </w:pPr>
    </w:p>
    <w:p w:rsidR="00402935" w:rsidRPr="00B65E96" w:rsidRDefault="00402935" w:rsidP="0040293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B65E96">
        <w:rPr>
          <w:rFonts w:cstheme="minorHAnsi"/>
          <w:b/>
          <w:bCs/>
        </w:rPr>
        <w:t xml:space="preserve">Rule Four—Astronomical Point: </w:t>
      </w:r>
      <w:r w:rsidRPr="00B65E96">
        <w:rPr>
          <w:rFonts w:cstheme="minorHAnsi"/>
        </w:rPr>
        <w:t>This non-probability-based rule aids in</w:t>
      </w:r>
      <w:r>
        <w:rPr>
          <w:rFonts w:cstheme="minorHAnsi"/>
        </w:rPr>
        <w:t xml:space="preserve"> </w:t>
      </w:r>
      <w:r w:rsidRPr="00B65E96">
        <w:rPr>
          <w:rFonts w:cstheme="minorHAnsi"/>
        </w:rPr>
        <w:t>detecting unusually large or small numbers. An astronomical data point is one that is:</w:t>
      </w:r>
    </w:p>
    <w:p w:rsidR="00402935" w:rsidRDefault="00402935" w:rsidP="00402935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B65E96">
        <w:rPr>
          <w:rFonts w:cstheme="minorHAnsi"/>
        </w:rPr>
        <w:t>An obviously, even blatantly, different value.</w:t>
      </w:r>
    </w:p>
    <w:p w:rsidR="00402935" w:rsidRDefault="00402935" w:rsidP="00402935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B65E96">
        <w:rPr>
          <w:rFonts w:cstheme="minorHAnsi"/>
        </w:rPr>
        <w:t>Anyone studying the chart would agree that it is highly unusual.</w:t>
      </w:r>
    </w:p>
    <w:p w:rsidR="00402935" w:rsidRDefault="00402935" w:rsidP="00402935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B65E96">
        <w:rPr>
          <w:rFonts w:cstheme="minorHAnsi"/>
        </w:rPr>
        <w:t>Caution: Every data set will have a high and a low data point. This does not mean</w:t>
      </w:r>
      <w:r>
        <w:rPr>
          <w:rFonts w:cstheme="minorHAnsi"/>
        </w:rPr>
        <w:t xml:space="preserve"> </w:t>
      </w:r>
      <w:r w:rsidRPr="00B65E96">
        <w:rPr>
          <w:rFonts w:cstheme="minorHAnsi"/>
        </w:rPr>
        <w:t>the high or low are astronomical.</w:t>
      </w:r>
    </w:p>
    <w:p w:rsidR="00402935" w:rsidRDefault="00402935" w:rsidP="00402935">
      <w:pPr>
        <w:jc w:val="both"/>
        <w:rPr>
          <w:b/>
          <w:bCs/>
        </w:rPr>
      </w:pPr>
    </w:p>
    <w:p w:rsidR="00402935" w:rsidRDefault="00402935" w:rsidP="00402935">
      <w:pPr>
        <w:pStyle w:val="ListParagraph"/>
        <w:numPr>
          <w:ilvl w:val="0"/>
          <w:numId w:val="1"/>
        </w:numPr>
        <w:jc w:val="both"/>
      </w:pPr>
      <w:r>
        <w:lastRenderedPageBreak/>
        <w:t xml:space="preserve">Statistical Process Control Chart rules for identifying a special cause of variation (reproduced with permission from </w:t>
      </w:r>
      <w:r>
        <w:fldChar w:fldCharType="begin"/>
      </w:r>
      <w:r>
        <w:instrText xml:space="preserve"> ADDIN EN.CITE &lt;EndNote&gt;&lt;Cite&gt;&lt;Author&gt;Provost&lt;/Author&gt;&lt;Year&gt;2011&lt;/Year&gt;&lt;RecNum&gt;221&lt;/RecNum&gt;&lt;DisplayText&gt;[7]&lt;/DisplayText&gt;&lt;record&gt;&lt;rec-number&gt;221&lt;/rec-number&gt;&lt;foreign-keys&gt;&lt;key app="EN" db-id="d2az2zftg5w2fced0e85erayv0s0trvrwz9z" timestamp="1652806598" guid="9cf7ebb8-1728-4d36-87eb-72919e698770"&gt;221&lt;/key&gt;&lt;/foreign-keys&gt;&lt;ref-type name="Book"&gt;6&lt;/ref-type&gt;&lt;contributors&gt;&lt;authors&gt;&lt;author&gt;Provost, Lloyd P&lt;/author&gt;&lt;author&gt;Murray, Sandra&lt;/author&gt;&lt;/authors&gt;&lt;/contributors&gt;&lt;titles&gt;&lt;title&gt;The health care data guide: learning from data for improvement&lt;/title&gt;&lt;/titles&gt;&lt;dates&gt;&lt;year&gt;2011&lt;/year&gt;&lt;/dates&gt;&lt;publisher&gt;John Wiley &amp;amp; Sons&lt;/publisher&gt;&lt;isbn&gt;0470902582&lt;/isbn&gt;&lt;urls&gt;&lt;/urls&gt;&lt;/record&gt;&lt;/Cite&gt;&lt;/EndNote&gt;</w:instrText>
      </w:r>
      <w:r>
        <w:fldChar w:fldCharType="separate"/>
      </w:r>
      <w:r>
        <w:rPr>
          <w:noProof/>
        </w:rPr>
        <w:t>[7]</w:t>
      </w:r>
      <w:r>
        <w:fldChar w:fldCharType="end"/>
      </w:r>
      <w:r>
        <w:t>)</w:t>
      </w:r>
    </w:p>
    <w:p w:rsidR="00402935" w:rsidRPr="00CF0D22" w:rsidRDefault="00402935" w:rsidP="00402935">
      <w:pPr>
        <w:pStyle w:val="ListParagraph"/>
        <w:jc w:val="both"/>
      </w:pPr>
      <w:r w:rsidRPr="003C1D53">
        <w:rPr>
          <w:noProof/>
          <w:lang w:val="en-US"/>
        </w:rPr>
        <w:drawing>
          <wp:inline distT="0" distB="0" distL="0" distR="0" wp14:anchorId="4CD83BD7" wp14:editId="1E7C7FD3">
            <wp:extent cx="5591175" cy="2667000"/>
            <wp:effectExtent l="0" t="0" r="952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175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2935" w:rsidRPr="00B65E96" w:rsidRDefault="00402935" w:rsidP="0040293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B65E96">
        <w:rPr>
          <w:b/>
          <w:bCs/>
        </w:rPr>
        <w:br w:type="page"/>
      </w:r>
    </w:p>
    <w:p w:rsidR="00342BD7" w:rsidRDefault="00342BD7">
      <w:bookmarkStart w:id="0" w:name="_GoBack"/>
      <w:bookmarkEnd w:id="0"/>
    </w:p>
    <w:sectPr w:rsidR="00342BD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BF5EB3"/>
    <w:multiLevelType w:val="hybridMultilevel"/>
    <w:tmpl w:val="67E67152"/>
    <w:lvl w:ilvl="0" w:tplc="0C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 w15:restartNumberingAfterBreak="0">
    <w:nsid w:val="5FF758FB"/>
    <w:multiLevelType w:val="hybridMultilevel"/>
    <w:tmpl w:val="713CAB10"/>
    <w:lvl w:ilvl="0" w:tplc="B40A6C0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2935"/>
    <w:rsid w:val="00342BD7"/>
    <w:rsid w:val="00402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8AB038-AE0F-4A9E-B783-D6D8DE54B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2935"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029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475</Words>
  <Characters>2709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3178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2022-08-14T11:35:00Z</dcterms:created>
  <dcterms:modified xsi:type="dcterms:W3CDTF">2022-08-14T11:35:00Z</dcterms:modified>
</cp:coreProperties>
</file>