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3179" w:rsidRPr="00E15C11" w:rsidRDefault="00653179" w:rsidP="00653179">
      <w:pPr>
        <w:rPr>
          <w:b/>
        </w:rPr>
      </w:pPr>
      <w:bookmarkStart w:id="0" w:name="_GoBack"/>
      <w:r w:rsidRPr="00E15C11">
        <w:rPr>
          <w:b/>
        </w:rPr>
        <w:t>Additional files</w:t>
      </w:r>
    </w:p>
    <w:bookmarkEnd w:id="0"/>
    <w:p w:rsidR="00653179" w:rsidRPr="00CE0595" w:rsidRDefault="00653179" w:rsidP="00653179">
      <w:pPr>
        <w:spacing w:line="360" w:lineRule="auto"/>
        <w:rPr>
          <w:rFonts w:ascii="Arial" w:hAnsi="Arial" w:cs="Arial"/>
          <w:b/>
          <w:sz w:val="20"/>
          <w:lang w:val="en-GB"/>
        </w:rPr>
      </w:pPr>
      <w:r w:rsidRPr="00E15C11">
        <w:t>Additional file 1:</w:t>
      </w:r>
      <w:r w:rsidRPr="00D87D9F">
        <w:rPr>
          <w:rFonts w:ascii="Arial" w:hAnsi="Arial" w:cs="Arial"/>
          <w:b/>
          <w:sz w:val="20"/>
          <w:lang w:val="en-GB"/>
        </w:rPr>
        <w:t xml:space="preserve"> </w:t>
      </w:r>
      <w:r w:rsidRPr="00FC2008">
        <w:rPr>
          <w:rFonts w:ascii="Arial" w:hAnsi="Arial" w:cs="Arial"/>
          <w:sz w:val="20"/>
          <w:lang w:val="en-GB"/>
        </w:rPr>
        <w:t xml:space="preserve">Modified MARAIS Score (modified from Marais </w:t>
      </w:r>
      <w:r w:rsidRPr="00FC2008">
        <w:rPr>
          <w:rFonts w:ascii="Arial" w:hAnsi="Arial" w:cs="Arial"/>
          <w:i/>
          <w:sz w:val="20"/>
          <w:lang w:val="en-GB"/>
        </w:rPr>
        <w:t>et al</w:t>
      </w:r>
      <w:r w:rsidRPr="00FC2008">
        <w:rPr>
          <w:rFonts w:ascii="Arial" w:hAnsi="Arial" w:cs="Arial"/>
          <w:sz w:val="20"/>
          <w:lang w:val="en-GB"/>
        </w:rPr>
        <w:t xml:space="preserve">. </w:t>
      </w:r>
      <w:r w:rsidRPr="00FC2008">
        <w:rPr>
          <w:rFonts w:ascii="Arial" w:hAnsi="Arial" w:cs="Arial"/>
          <w:sz w:val="20"/>
          <w:lang w:val="en-GB"/>
        </w:rPr>
        <w:fldChar w:fldCharType="begin"/>
      </w:r>
      <w:r w:rsidRPr="00FC2008">
        <w:rPr>
          <w:rFonts w:ascii="Arial" w:hAnsi="Arial" w:cs="Arial"/>
          <w:sz w:val="20"/>
          <w:lang w:val="en-GB"/>
        </w:rPr>
        <w:instrText xml:space="preserve"> ADDIN ZOTERO_ITEM CSL_CITATION {"citationID":"oJXnTnqJ","properties":{"formattedCitation":"[27]","plainCitation":"[27]","noteIndex":0},"citationItems":[{"id":2455,"uris":["http://zotero.org/users/1449867/items/PPCIWARA"],"uri":["http://zotero.org/users/1449867/items/PPCIWARA"],"itemData":{"id":2455,"type":"article-journal","abstract":"Tuberculous meningitis (TBM) remains a major cause of death and disability in tuberculosis-endemic areas, especially in young children and immunocompromised adults. Research aimed at improving outcomes is hampered by poor standardization, which limits study comparison and the generalizability of results. We propose standardized methods for the conduct of TBM clinical research that were drafted at an international tuberculous meningitis research meeting organized by the Oxford University Clinical Research Unit in Vietnam. We propose a core dataset including demographic and clinical information to be collected at study enrollment, important aspects related to patient management and monitoring, and standardized reporting of patient outcomes. The criteria proposed for the conduct of observational and intervention TBM studies should improve the quality of future research outputs, can facilitate multicenter studies and meta-analyses of pooled data, and could provide the foundation for a global TBM data repository.","container-title":"Clinical Infectious Diseases: An Official Publication of the Infectious Diseases Society of America","DOI":"10.1093/cid/ciw757","ISSN":"1537-6591","issue":"4","journalAbbreviation":"Clin. Infect. Dis.","language":"eng","note":"PMID: 28172588\nPMCID: PMC5399942","page":"501-509","source":"PubMed","title":"Standardized Methods for Enhanced Quality and Comparability of Tuberculous Meningitis Studies","volume":"64","author":[{"family":"Marais","given":"Ben J."},{"family":"Heemskerk","given":"Anna D."},{"family":"Marais","given":"Suzaan S."},{"family":"Crevel","given":"Reinout","non-dropping-particle":"van"},{"family":"Rohlwink","given":"Ursula"},{"family":"Caws","given":"Maxine"},{"family":"Meintjes","given":"Graeme"},{"family":"Misra","given":"Usha K."},{"family":"Mai","given":"Nguyen T. H."},{"family":"Ruslami","given":"Rovina"},{"family":"Seddon","given":"James A."},{"family":"Solomons","given":"Regan"},{"family":"Toorn","given":"Ronald","non-dropping-particle":"van"},{"family":"Figaji","given":"Anthony"},{"family":"McIlleron","given":"Helen"},{"family":"Aarnoutse","given":"Robert"},{"family":"Schoeman","given":"Johan F."},{"family":"Wilkinson","given":"Robert J."},{"family":"Thwaites","given":"Guy E."},{"literal":"Tuberculous Meningitis International Research Consortium"}],"issued":{"date-parts":[["2017"]],"season":"15"}}}],"schema":"https://github.com/citation-style-language/schema/raw/master/csl-citation.json"} </w:instrText>
      </w:r>
      <w:r w:rsidRPr="00FC2008">
        <w:rPr>
          <w:rFonts w:ascii="Arial" w:hAnsi="Arial" w:cs="Arial"/>
          <w:sz w:val="20"/>
          <w:lang w:val="en-GB"/>
        </w:rPr>
        <w:fldChar w:fldCharType="separate"/>
      </w:r>
      <w:r w:rsidRPr="00FC2008">
        <w:rPr>
          <w:rFonts w:ascii="Arial" w:hAnsi="Arial" w:cs="Arial"/>
          <w:sz w:val="20"/>
          <w:lang w:val="en-US"/>
        </w:rPr>
        <w:t>[27]</w:t>
      </w:r>
      <w:r w:rsidRPr="00FC2008">
        <w:rPr>
          <w:rFonts w:ascii="Arial" w:hAnsi="Arial" w:cs="Arial"/>
          <w:sz w:val="20"/>
          <w:lang w:val="en-GB"/>
        </w:rPr>
        <w:fldChar w:fldCharType="end"/>
      </w:r>
      <w:r w:rsidRPr="00FC2008">
        <w:rPr>
          <w:rFonts w:ascii="Arial" w:hAnsi="Arial" w:cs="Arial"/>
          <w:sz w:val="20"/>
          <w:lang w:val="en-GB"/>
        </w:rPr>
        <w:t>)</w:t>
      </w:r>
    </w:p>
    <w:tbl>
      <w:tblPr>
        <w:tblStyle w:val="TableGrid"/>
        <w:tblpPr w:leftFromText="141" w:rightFromText="141" w:vertAnchor="page" w:horzAnchor="margin" w:tblpXSpec="center" w:tblpY="2001"/>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9"/>
        <w:gridCol w:w="9641"/>
        <w:gridCol w:w="448"/>
      </w:tblGrid>
      <w:tr w:rsidR="00653179" w:rsidRPr="00CE0595" w:rsidTr="00B04273">
        <w:tc>
          <w:tcPr>
            <w:tcW w:w="259" w:type="dxa"/>
            <w:tcBorders>
              <w:top w:val="single" w:sz="18" w:space="0" w:color="auto"/>
              <w:left w:val="single" w:sz="18" w:space="0" w:color="auto"/>
            </w:tcBorders>
          </w:tcPr>
          <w:p w:rsidR="00653179" w:rsidRPr="00D87D9F" w:rsidRDefault="00653179" w:rsidP="00B04273">
            <w:pPr>
              <w:spacing w:line="360" w:lineRule="auto"/>
              <w:rPr>
                <w:rFonts w:ascii="Arial" w:hAnsi="Arial" w:cs="Arial"/>
                <w:sz w:val="18"/>
                <w:szCs w:val="18"/>
                <w:lang w:val="en-GB"/>
              </w:rPr>
            </w:pPr>
            <w:bookmarkStart w:id="1" w:name="_Ref17876599"/>
            <w:bookmarkStart w:id="2" w:name="_Toc17890466"/>
          </w:p>
        </w:tc>
        <w:tc>
          <w:tcPr>
            <w:tcW w:w="9641" w:type="dxa"/>
            <w:tcBorders>
              <w:top w:val="single" w:sz="18" w:space="0" w:color="auto"/>
            </w:tcBorders>
          </w:tcPr>
          <w:p w:rsidR="00653179" w:rsidRPr="00CE0595" w:rsidRDefault="00653179" w:rsidP="00B04273">
            <w:pPr>
              <w:spacing w:line="360" w:lineRule="auto"/>
              <w:rPr>
                <w:rFonts w:ascii="Arial" w:hAnsi="Arial" w:cs="Arial"/>
                <w:b/>
                <w:sz w:val="20"/>
                <w:szCs w:val="20"/>
                <w:lang w:val="en-US"/>
              </w:rPr>
            </w:pPr>
            <w:r w:rsidRPr="00CE0595">
              <w:rPr>
                <w:rFonts w:ascii="Arial" w:hAnsi="Arial" w:cs="Arial"/>
                <w:b/>
                <w:sz w:val="20"/>
                <w:szCs w:val="20"/>
                <w:lang w:val="en-US"/>
              </w:rPr>
              <w:t xml:space="preserve">Criteria </w:t>
            </w:r>
          </w:p>
        </w:tc>
        <w:tc>
          <w:tcPr>
            <w:tcW w:w="448" w:type="dxa"/>
            <w:tcBorders>
              <w:top w:val="single" w:sz="18" w:space="0" w:color="auto"/>
              <w:right w:val="single" w:sz="18" w:space="0" w:color="auto"/>
            </w:tcBorders>
          </w:tcPr>
          <w:p w:rsidR="00653179" w:rsidRPr="00CE0595" w:rsidRDefault="00653179" w:rsidP="00B04273">
            <w:pPr>
              <w:spacing w:line="360" w:lineRule="auto"/>
              <w:jc w:val="right"/>
              <w:rPr>
                <w:rFonts w:ascii="Arial" w:hAnsi="Arial" w:cs="Arial"/>
                <w:sz w:val="20"/>
                <w:szCs w:val="20"/>
                <w:lang w:val="en-US"/>
              </w:rPr>
            </w:pPr>
          </w:p>
        </w:tc>
      </w:tr>
      <w:tr w:rsidR="00653179" w:rsidRPr="00D13B7B" w:rsidTr="00B04273">
        <w:tc>
          <w:tcPr>
            <w:tcW w:w="259" w:type="dxa"/>
            <w:tcBorders>
              <w:left w:val="single" w:sz="18" w:space="0" w:color="auto"/>
            </w:tcBorders>
            <w:shd w:val="clear" w:color="auto" w:fill="FFFFFF" w:themeFill="background1"/>
          </w:tcPr>
          <w:p w:rsidR="00653179" w:rsidRPr="00CE0595" w:rsidRDefault="00653179" w:rsidP="00B04273">
            <w:pPr>
              <w:spacing w:line="360" w:lineRule="auto"/>
              <w:rPr>
                <w:rFonts w:ascii="Arial" w:hAnsi="Arial" w:cs="Arial"/>
                <w:sz w:val="18"/>
                <w:szCs w:val="18"/>
                <w:lang w:val="en-US"/>
              </w:rPr>
            </w:pPr>
          </w:p>
        </w:tc>
        <w:tc>
          <w:tcPr>
            <w:tcW w:w="9641" w:type="dxa"/>
            <w:tcBorders>
              <w:bottom w:val="single" w:sz="2" w:space="0" w:color="D9D9D9" w:themeColor="background1" w:themeShade="D9"/>
            </w:tcBorders>
            <w:shd w:val="clear" w:color="auto" w:fill="FFFFFF" w:themeFill="background1"/>
          </w:tcPr>
          <w:p w:rsidR="00653179" w:rsidRPr="00D87D9F" w:rsidRDefault="00653179" w:rsidP="00B04273">
            <w:pPr>
              <w:spacing w:line="360" w:lineRule="auto"/>
              <w:rPr>
                <w:rFonts w:ascii="Arial" w:hAnsi="Arial" w:cs="Arial"/>
                <w:b/>
                <w:i/>
                <w:sz w:val="20"/>
                <w:szCs w:val="20"/>
                <w:lang w:val="en-US"/>
              </w:rPr>
            </w:pPr>
            <w:r w:rsidRPr="00D87D9F">
              <w:rPr>
                <w:rFonts w:ascii="Arial" w:hAnsi="Arial" w:cs="Arial"/>
                <w:b/>
                <w:i/>
                <w:sz w:val="20"/>
                <w:szCs w:val="20"/>
                <w:lang w:val="en-US"/>
              </w:rPr>
              <w:t>Clinical criteria (Maximum category score=6)</w:t>
            </w:r>
          </w:p>
        </w:tc>
        <w:tc>
          <w:tcPr>
            <w:tcW w:w="448" w:type="dxa"/>
            <w:tcBorders>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right"/>
              <w:rPr>
                <w:rFonts w:ascii="Arial" w:hAnsi="Arial" w:cs="Arial"/>
                <w:sz w:val="20"/>
                <w:szCs w:val="20"/>
                <w:lang w:val="en-US"/>
              </w:rPr>
            </w:pPr>
          </w:p>
        </w:tc>
      </w:tr>
      <w:tr w:rsidR="00653179" w:rsidRPr="00CE0595"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FFFFFF" w:themeFill="background1"/>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t>Symptom duration of more than 5 days</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4</w:t>
            </w:r>
          </w:p>
        </w:tc>
      </w:tr>
      <w:tr w:rsidR="00653179" w:rsidRPr="00D87D9F"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FFFFFF" w:themeFill="background1"/>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t>Systemic symptoms suggestive of tuberculosis (one or more of the following): weight loss (or poor weight gain in children),night sweats, or persistent cough for more than 2 weeks</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2</w:t>
            </w:r>
          </w:p>
        </w:tc>
      </w:tr>
      <w:tr w:rsidR="00653179" w:rsidRPr="00D87D9F"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FFFFFF" w:themeFill="background1"/>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t>History of recent (within past year) close contact with an individual with pulmonary tuberculosis or a positive TST or IGRA (only in children &lt;10 years of age)</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2</w:t>
            </w:r>
          </w:p>
        </w:tc>
      </w:tr>
      <w:tr w:rsidR="00653179" w:rsidRPr="00D87D9F"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FFFFFF" w:themeFill="background1"/>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t>Focal neurological deficit (excluding cranial nerve palsies)</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1</w:t>
            </w:r>
          </w:p>
        </w:tc>
      </w:tr>
      <w:tr w:rsidR="00653179" w:rsidRPr="00D87D9F"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FFFFFF" w:themeFill="background1"/>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t>Cranial nerve palsy</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1</w:t>
            </w:r>
          </w:p>
        </w:tc>
      </w:tr>
      <w:tr w:rsidR="00653179" w:rsidRPr="00D87D9F"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FFFFFF" w:themeFill="background1"/>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t>Altered consciousness</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1</w:t>
            </w:r>
          </w:p>
        </w:tc>
      </w:tr>
      <w:tr w:rsidR="00653179" w:rsidRPr="00D13B7B"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FFFFFF" w:themeFill="background1"/>
          </w:tcPr>
          <w:p w:rsidR="00653179" w:rsidRPr="00D87D9F" w:rsidRDefault="00653179" w:rsidP="00B04273">
            <w:pPr>
              <w:spacing w:line="360" w:lineRule="auto"/>
              <w:rPr>
                <w:rFonts w:ascii="Arial" w:hAnsi="Arial" w:cs="Arial"/>
                <w:b/>
                <w:i/>
                <w:sz w:val="20"/>
                <w:szCs w:val="20"/>
                <w:lang w:val="en-US"/>
              </w:rPr>
            </w:pPr>
            <w:r w:rsidRPr="00D87D9F">
              <w:rPr>
                <w:rFonts w:ascii="Arial" w:hAnsi="Arial" w:cs="Arial"/>
                <w:b/>
                <w:i/>
                <w:sz w:val="20"/>
                <w:szCs w:val="20"/>
                <w:lang w:val="en-US"/>
              </w:rPr>
              <w:t>CSF criteria</w:t>
            </w:r>
            <w:r w:rsidRPr="00D87D9F">
              <w:rPr>
                <w:rFonts w:ascii="Arial" w:eastAsia="Shaker2Lancet-Regular" w:hAnsi="Arial" w:cs="Arial"/>
                <w:sz w:val="20"/>
                <w:szCs w:val="20"/>
                <w:lang w:val="en-US"/>
              </w:rPr>
              <w:t xml:space="preserve"> </w:t>
            </w:r>
            <w:r w:rsidRPr="00D87D9F">
              <w:rPr>
                <w:rFonts w:ascii="Arial" w:hAnsi="Arial" w:cs="Arial"/>
                <w:b/>
                <w:i/>
                <w:sz w:val="20"/>
                <w:szCs w:val="20"/>
                <w:lang w:val="en-US"/>
              </w:rPr>
              <w:t>(Maximum category score=4)</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p>
        </w:tc>
      </w:tr>
      <w:tr w:rsidR="00653179" w:rsidRPr="00D87D9F"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FFFFFF" w:themeFill="background1"/>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t>Clear appearance</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1</w:t>
            </w:r>
          </w:p>
        </w:tc>
      </w:tr>
      <w:tr w:rsidR="00653179" w:rsidRPr="00D87D9F" w:rsidTr="00B04273">
        <w:trPr>
          <w:trHeight w:val="285"/>
        </w:trPr>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FFFFFF" w:themeFill="background1"/>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t>Cells: 10–500 per /μl</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1</w:t>
            </w:r>
          </w:p>
        </w:tc>
      </w:tr>
      <w:tr w:rsidR="00653179" w:rsidRPr="00D87D9F"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FFFFFF" w:themeFill="background1"/>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t>Lymphocytic predominance (&gt;50%)</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1</w:t>
            </w:r>
          </w:p>
        </w:tc>
      </w:tr>
      <w:tr w:rsidR="00653179" w:rsidRPr="00D87D9F"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FFFFFF" w:themeFill="background1"/>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t>Protein concentration greater than 1 g/L</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1</w:t>
            </w:r>
          </w:p>
        </w:tc>
      </w:tr>
      <w:tr w:rsidR="00653179" w:rsidRPr="00D87D9F"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FFFFFF" w:themeFill="background1"/>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t>CSF/plasma glucose ratio &lt; 50% or an absolute CSF glucose concentration &lt; 2.2 mmol/L</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1</w:t>
            </w:r>
          </w:p>
        </w:tc>
      </w:tr>
      <w:tr w:rsidR="00653179" w:rsidRPr="00D13B7B"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FFFFFF" w:themeFill="background1"/>
          </w:tcPr>
          <w:p w:rsidR="00653179" w:rsidRPr="00D87D9F" w:rsidRDefault="00653179" w:rsidP="00B04273">
            <w:pPr>
              <w:spacing w:line="360" w:lineRule="auto"/>
              <w:rPr>
                <w:rFonts w:ascii="Arial" w:hAnsi="Arial" w:cs="Arial"/>
                <w:b/>
                <w:i/>
                <w:sz w:val="20"/>
                <w:szCs w:val="20"/>
                <w:lang w:val="en-US"/>
              </w:rPr>
            </w:pPr>
            <w:r w:rsidRPr="00D87D9F">
              <w:rPr>
                <w:rFonts w:ascii="Arial" w:hAnsi="Arial" w:cs="Arial"/>
                <w:b/>
                <w:i/>
                <w:sz w:val="20"/>
                <w:szCs w:val="20"/>
                <w:lang w:val="en-US"/>
              </w:rPr>
              <w:t>Cerebral imaging criteria (</w:t>
            </w:r>
            <w:r w:rsidRPr="00D87D9F">
              <w:rPr>
                <w:rFonts w:ascii="Arial" w:eastAsia="Shaker2Lancet-Regular" w:hAnsi="Arial" w:cs="Arial"/>
                <w:sz w:val="20"/>
                <w:szCs w:val="20"/>
                <w:lang w:val="en-US"/>
              </w:rPr>
              <w:t xml:space="preserve"> </w:t>
            </w:r>
            <w:r w:rsidRPr="00D87D9F">
              <w:rPr>
                <w:rFonts w:ascii="Arial" w:hAnsi="Arial" w:cs="Arial"/>
                <w:b/>
                <w:i/>
                <w:sz w:val="20"/>
                <w:szCs w:val="20"/>
                <w:lang w:val="en-US"/>
              </w:rPr>
              <w:t>(Maximum category score=6)</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sz w:val="20"/>
                <w:szCs w:val="20"/>
                <w:lang w:val="en-US"/>
              </w:rPr>
            </w:pPr>
          </w:p>
        </w:tc>
      </w:tr>
      <w:tr w:rsidR="00653179" w:rsidRPr="00D87D9F"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FFFFFF" w:themeFill="background1"/>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t>Hydrocephalus</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1</w:t>
            </w:r>
          </w:p>
        </w:tc>
      </w:tr>
      <w:tr w:rsidR="00653179" w:rsidRPr="00D87D9F"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FFFFFF" w:themeFill="background1"/>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t>Basal meningeal enhancement</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2</w:t>
            </w:r>
          </w:p>
        </w:tc>
      </w:tr>
      <w:tr w:rsidR="00653179" w:rsidRPr="00D87D9F" w:rsidTr="00B04273">
        <w:trPr>
          <w:trHeight w:val="50"/>
        </w:trPr>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FFFFFF" w:themeFill="background1"/>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t>Tuberculoma</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2</w:t>
            </w:r>
          </w:p>
        </w:tc>
      </w:tr>
      <w:tr w:rsidR="00653179" w:rsidRPr="00D87D9F"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FFFFFF" w:themeFill="background1"/>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t>Infarct</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1</w:t>
            </w:r>
          </w:p>
        </w:tc>
      </w:tr>
      <w:tr w:rsidR="00653179" w:rsidRPr="00D87D9F"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FFFFFF" w:themeFill="background1"/>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t>Pre-contrast basal hyperdensity</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2</w:t>
            </w:r>
          </w:p>
        </w:tc>
      </w:tr>
      <w:tr w:rsidR="00653179" w:rsidRPr="00D13B7B"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FFFFFF" w:themeFill="background1"/>
          </w:tcPr>
          <w:p w:rsidR="00653179" w:rsidRPr="00D87D9F" w:rsidRDefault="00653179" w:rsidP="00B04273">
            <w:pPr>
              <w:spacing w:line="360" w:lineRule="auto"/>
              <w:rPr>
                <w:rFonts w:ascii="Arial" w:hAnsi="Arial" w:cs="Arial"/>
                <w:b/>
                <w:i/>
                <w:sz w:val="20"/>
                <w:szCs w:val="20"/>
                <w:lang w:val="en-US"/>
              </w:rPr>
            </w:pPr>
            <w:r w:rsidRPr="00D87D9F">
              <w:rPr>
                <w:rFonts w:ascii="Arial" w:hAnsi="Arial" w:cs="Arial"/>
                <w:b/>
                <w:i/>
                <w:sz w:val="20"/>
                <w:szCs w:val="20"/>
                <w:lang w:val="en-US"/>
              </w:rPr>
              <w:t>Evidence of tuberculosis elsewhere (Maximum category score=4)</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sz w:val="20"/>
                <w:szCs w:val="20"/>
                <w:lang w:val="en-US"/>
              </w:rPr>
            </w:pPr>
          </w:p>
        </w:tc>
      </w:tr>
      <w:tr w:rsidR="00653179" w:rsidRPr="00D87D9F"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auto"/>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t>Chest radiograph suggestive of active tuberculosis: signs of tuberculosis</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2</w:t>
            </w:r>
          </w:p>
        </w:tc>
      </w:tr>
      <w:tr w:rsidR="00653179" w:rsidRPr="00D87D9F"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auto"/>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rPr>
                <w:sz w:val="18"/>
                <w:szCs w:val="18"/>
              </w:rPr>
              <w:t>Chest radiograph suggestive of miliary tuberculosis</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4</w:t>
            </w:r>
          </w:p>
        </w:tc>
      </w:tr>
      <w:tr w:rsidR="00653179" w:rsidRPr="00D87D9F"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auto"/>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t>CT/ MRI/ ultrasound evidence for tuberculosis outside the CNS</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2</w:t>
            </w:r>
          </w:p>
        </w:tc>
      </w:tr>
      <w:tr w:rsidR="00653179" w:rsidRPr="00D87D9F" w:rsidTr="00B04273">
        <w:tc>
          <w:tcPr>
            <w:tcW w:w="259" w:type="dxa"/>
            <w:tcBorders>
              <w:left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2" w:space="0" w:color="D9D9D9" w:themeColor="background1" w:themeShade="D9"/>
            </w:tcBorders>
            <w:shd w:val="clear" w:color="auto" w:fill="auto"/>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t xml:space="preserve">AFB identified or </w:t>
            </w:r>
            <w:r w:rsidRPr="00D87D9F">
              <w:rPr>
                <w:i/>
                <w:iCs/>
              </w:rPr>
              <w:t xml:space="preserve">Mycobacterium tuberculosis </w:t>
            </w:r>
            <w:r w:rsidRPr="00D87D9F">
              <w:t>cultured from another source—ie, sputum, lymph node, gastric washing, urine, blood culture</w:t>
            </w:r>
          </w:p>
        </w:tc>
        <w:tc>
          <w:tcPr>
            <w:tcW w:w="448" w:type="dxa"/>
            <w:tcBorders>
              <w:top w:val="single" w:sz="2" w:space="0" w:color="D9D9D9" w:themeColor="background1" w:themeShade="D9"/>
              <w:bottom w:val="single" w:sz="2" w:space="0" w:color="D9D9D9" w:themeColor="background1" w:themeShade="D9"/>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4</w:t>
            </w:r>
          </w:p>
        </w:tc>
      </w:tr>
      <w:tr w:rsidR="00653179" w:rsidRPr="00D87D9F" w:rsidTr="00B04273">
        <w:tc>
          <w:tcPr>
            <w:tcW w:w="259" w:type="dxa"/>
            <w:tcBorders>
              <w:left w:val="single" w:sz="18" w:space="0" w:color="auto"/>
              <w:bottom w:val="single" w:sz="18" w:space="0" w:color="auto"/>
            </w:tcBorders>
            <w:shd w:val="clear" w:color="auto" w:fill="FFFFFF" w:themeFill="background1"/>
          </w:tcPr>
          <w:p w:rsidR="00653179" w:rsidRPr="00D87D9F" w:rsidRDefault="00653179" w:rsidP="00B04273">
            <w:pPr>
              <w:spacing w:line="360" w:lineRule="auto"/>
              <w:rPr>
                <w:rFonts w:ascii="Arial" w:hAnsi="Arial" w:cs="Arial"/>
                <w:sz w:val="18"/>
                <w:szCs w:val="18"/>
                <w:lang w:val="en-US"/>
              </w:rPr>
            </w:pPr>
          </w:p>
        </w:tc>
        <w:tc>
          <w:tcPr>
            <w:tcW w:w="9641" w:type="dxa"/>
            <w:tcBorders>
              <w:top w:val="single" w:sz="2" w:space="0" w:color="D9D9D9" w:themeColor="background1" w:themeShade="D9"/>
              <w:bottom w:val="single" w:sz="18" w:space="0" w:color="auto"/>
            </w:tcBorders>
            <w:shd w:val="clear" w:color="auto" w:fill="auto"/>
          </w:tcPr>
          <w:p w:rsidR="00653179" w:rsidRPr="00D87D9F" w:rsidRDefault="00653179" w:rsidP="00B04273">
            <w:pPr>
              <w:pStyle w:val="Bullet1"/>
              <w:framePr w:hSpace="0" w:wrap="auto" w:vAnchor="margin" w:hAnchor="text" w:xAlign="left" w:yAlign="inline"/>
              <w:tabs>
                <w:tab w:val="clear" w:pos="360"/>
              </w:tabs>
              <w:spacing w:after="0" w:line="360" w:lineRule="auto"/>
            </w:pPr>
            <w:r w:rsidRPr="00D87D9F">
              <w:t xml:space="preserve">Positive commercial </w:t>
            </w:r>
            <w:r w:rsidRPr="00D87D9F">
              <w:rPr>
                <w:i/>
                <w:iCs/>
              </w:rPr>
              <w:t xml:space="preserve">M tuberculosis </w:t>
            </w:r>
            <w:r w:rsidRPr="00D87D9F">
              <w:t>NAAT from extra-neural specimen or positive urine LAM*</w:t>
            </w:r>
          </w:p>
        </w:tc>
        <w:tc>
          <w:tcPr>
            <w:tcW w:w="448" w:type="dxa"/>
            <w:tcBorders>
              <w:top w:val="single" w:sz="2" w:space="0" w:color="D9D9D9" w:themeColor="background1" w:themeShade="D9"/>
              <w:bottom w:val="single" w:sz="18" w:space="0" w:color="auto"/>
              <w:right w:val="single" w:sz="18" w:space="0" w:color="auto"/>
            </w:tcBorders>
            <w:shd w:val="clear" w:color="auto" w:fill="FFFFFF" w:themeFill="background1"/>
          </w:tcPr>
          <w:p w:rsidR="00653179" w:rsidRPr="00D87D9F" w:rsidRDefault="00653179" w:rsidP="00B04273">
            <w:pPr>
              <w:spacing w:line="360" w:lineRule="auto"/>
              <w:jc w:val="center"/>
              <w:rPr>
                <w:rFonts w:ascii="Arial" w:hAnsi="Arial" w:cs="Arial"/>
                <w:b/>
                <w:sz w:val="20"/>
                <w:szCs w:val="20"/>
                <w:lang w:val="en-US"/>
              </w:rPr>
            </w:pPr>
            <w:r w:rsidRPr="00D87D9F">
              <w:rPr>
                <w:rFonts w:ascii="Arial" w:hAnsi="Arial" w:cs="Arial"/>
                <w:b/>
                <w:sz w:val="20"/>
                <w:szCs w:val="20"/>
                <w:lang w:val="en-US"/>
              </w:rPr>
              <w:t>4</w:t>
            </w:r>
          </w:p>
        </w:tc>
      </w:tr>
      <w:tr w:rsidR="00653179" w:rsidRPr="00CE0595" w:rsidTr="00B04273">
        <w:tc>
          <w:tcPr>
            <w:tcW w:w="259" w:type="dxa"/>
            <w:tcBorders>
              <w:top w:val="single" w:sz="18" w:space="0" w:color="auto"/>
            </w:tcBorders>
            <w:shd w:val="clear" w:color="auto" w:fill="auto"/>
          </w:tcPr>
          <w:p w:rsidR="00653179" w:rsidRPr="00CE0595" w:rsidRDefault="00653179" w:rsidP="00B04273">
            <w:pPr>
              <w:spacing w:line="360" w:lineRule="auto"/>
              <w:jc w:val="both"/>
              <w:rPr>
                <w:rFonts w:ascii="Arial" w:hAnsi="Arial" w:cs="Arial"/>
                <w:sz w:val="18"/>
                <w:szCs w:val="18"/>
                <w:lang w:val="en-US"/>
              </w:rPr>
            </w:pPr>
          </w:p>
        </w:tc>
        <w:tc>
          <w:tcPr>
            <w:tcW w:w="9641" w:type="dxa"/>
            <w:tcBorders>
              <w:top w:val="single" w:sz="18" w:space="0" w:color="auto"/>
            </w:tcBorders>
            <w:shd w:val="clear" w:color="auto" w:fill="auto"/>
          </w:tcPr>
          <w:p w:rsidR="00653179" w:rsidRPr="00CE0595" w:rsidRDefault="00653179" w:rsidP="00B04273">
            <w:pPr>
              <w:pStyle w:val="TEXTEPROTOCOLE"/>
            </w:pPr>
            <w:r w:rsidRPr="00CE0595">
              <w:t xml:space="preserve">* Only "NAAT from extra-neural specimen" was included in the original Marais score. We added "positive urine Lipoarabinomannan (LAM)".  This alteration is in line with a consensus agreement discussed at the 3rd International Consortium meeting in Tuberculous Meningitis (Lucknow, India 2019) which concluded a revision of the existing case definition is required in order to be more reflective of current clinical practice. LAM point of care testing is now widely used in the hospitals in which we are recruiting. A recent publication </w:t>
            </w:r>
            <w:r w:rsidRPr="00CE0595">
              <w:lastRenderedPageBreak/>
              <w:t xml:space="preserve">demonstrated a sensitivity of 41.8% and specificity of 90.5% making this point of care diagnostic test similar in diagnostic accuracy to culture and AFB positivity </w:t>
            </w:r>
            <w:r w:rsidRPr="00CE0595">
              <w:fldChar w:fldCharType="begin"/>
            </w:r>
            <w:r w:rsidRPr="00CE0595">
              <w:instrText xml:space="preserve"> ADDIN ZOTERO_ITEM CSL_CITATION {"citationID":"DhbtMdHp","properties":{"formattedCitation":"[34]","plainCitation":"[34]","noteIndex":0},"citationItems":[{"id":7238,"uris":["http://zotero.org/users/1449867/items/N2D8XIMY"],"uri":["http://zotero.org/users/1449867/items/N2D8XIMY"],"itemData":{"id":7238,"type":"article-journal","abstract":"Background\nThe urine lipoarabinomannan (LAM) lateral flow assay is a point-of-care test to diagnose HIV-associated tuberculosis (TB). We assessed the performance of urine LAM in HIV-positive patients presenting to the emergency center and evaluated the inter-observer agreement between emergency center physicians and laboratory technologists.\n\nSetting\nA cross-sectional diagnostic study was performed at the emergency center of a district hospital in a high HIV-prevalence community in South Africa.\n\nMethods\nConsecutive HIV-positive adults presenting with ≥1 WHO TB symptom were enrolled over a 16-month period. A urine LAM test was done at point-of-care by an emergency physician, and interpreted independently by two physicians. A second test was done in the laboratory, and interpreted independently by two laboratory technologists. The reference standard was a positive TB culture or Xpert MTB/RIF test on sputum, or appropriate extra-pulmonary samples. We compared diagnostic accuracy and reproducibility of urine LAM between point-of-care readers and laboratory readers.\n\nResults\n1388 samples (median, 3 samples/participant) were sent for TB microbiology tests in 411 participants; 170 had confirmed TB (41.4%). Point-of-care and laboratory-performed urine LAM had similar sensitivity (41.8% vs 42.0%, p=1.0) and specificity (90.5% vs 87.5%, p=0.23). Moderate agreement was found between point-of-care and laboratory testing (κ=0.62), but there was strong agreement between point-of-care readers (κ=0.95) and between laboratory readers (κ=0.94). Positive percent agreement between point-of-care and laboratory readers was 68%, and negative percent agreement 92%.\n\nConclusion\nThere is no diagnostic accuracy advantage in laboratory-performed versus point-of-care performed urine LAM tests in emergency care centers in high burden settings.","container-title":"Journal of acquired immune deficiency syndromes (1999)","DOI":"10.1097/QAI.0000000000002002","ISSN":"1525-4135","issue":"1","journalAbbreviation":"J Acquir Immune Defic Syndr","note":"PMID: 30865176\nPMCID: PMC6522362","page":"e10-e14","source":"PubMed Central","title":"The real-world performance and inter-observer agreement of urine lipoarabinomannan in diagnosing HIV-associated tuberculosis in an emergency center","volume":"81","author":[{"family":"Van Hoving","given":"Daniël Jacobus"},{"family":"Lahri","given":"Sa’ad"},{"family":"Lategan","given":"Hendrick Jaco"},{"family":"Nicol","given":"Mark Patrick"},{"family":"Maartens","given":"Gary"},{"family":"Meintjes","given":"Graeme"}],"issued":{"date-parts":[["2019",5,1]]}}}],"schema":"https://github.com/citation-style-language/schema/raw/master/csl-citation.json"} </w:instrText>
            </w:r>
            <w:r w:rsidRPr="00CE0595">
              <w:fldChar w:fldCharType="separate"/>
            </w:r>
            <w:r w:rsidRPr="00CE0595">
              <w:t>[3</w:t>
            </w:r>
            <w:r>
              <w:t>5</w:t>
            </w:r>
            <w:r w:rsidRPr="00CE0595">
              <w:t>]</w:t>
            </w:r>
            <w:r w:rsidRPr="00CE0595">
              <w:fldChar w:fldCharType="end"/>
            </w:r>
            <w:r w:rsidRPr="00CE0595">
              <w:t xml:space="preserve">. </w:t>
            </w:r>
          </w:p>
        </w:tc>
        <w:tc>
          <w:tcPr>
            <w:tcW w:w="448" w:type="dxa"/>
            <w:tcBorders>
              <w:top w:val="single" w:sz="18" w:space="0" w:color="auto"/>
            </w:tcBorders>
            <w:shd w:val="clear" w:color="auto" w:fill="auto"/>
          </w:tcPr>
          <w:p w:rsidR="00653179" w:rsidRPr="00CE0595" w:rsidRDefault="00653179" w:rsidP="00B04273">
            <w:pPr>
              <w:spacing w:line="360" w:lineRule="auto"/>
              <w:jc w:val="both"/>
              <w:rPr>
                <w:rFonts w:ascii="Arial" w:hAnsi="Arial" w:cs="Arial"/>
                <w:sz w:val="18"/>
                <w:szCs w:val="18"/>
                <w:lang w:val="en-US"/>
              </w:rPr>
            </w:pPr>
          </w:p>
        </w:tc>
      </w:tr>
      <w:tr w:rsidR="00653179" w:rsidRPr="00D13B7B" w:rsidTr="00B04273">
        <w:tc>
          <w:tcPr>
            <w:tcW w:w="259" w:type="dxa"/>
            <w:shd w:val="clear" w:color="auto" w:fill="auto"/>
          </w:tcPr>
          <w:p w:rsidR="00653179" w:rsidRPr="00CE0595" w:rsidRDefault="00653179" w:rsidP="00B04273">
            <w:pPr>
              <w:jc w:val="both"/>
              <w:rPr>
                <w:rFonts w:ascii="Arial" w:hAnsi="Arial" w:cs="Arial"/>
                <w:sz w:val="18"/>
                <w:szCs w:val="18"/>
                <w:lang w:val="en-US"/>
              </w:rPr>
            </w:pPr>
          </w:p>
        </w:tc>
        <w:tc>
          <w:tcPr>
            <w:tcW w:w="9641" w:type="dxa"/>
            <w:shd w:val="clear" w:color="auto" w:fill="auto"/>
          </w:tcPr>
          <w:p w:rsidR="00653179" w:rsidRPr="00CE0595" w:rsidRDefault="00653179" w:rsidP="00B04273">
            <w:pPr>
              <w:spacing w:before="120"/>
              <w:jc w:val="both"/>
              <w:rPr>
                <w:rFonts w:ascii="Arial" w:hAnsi="Arial" w:cs="Arial"/>
                <w:i/>
                <w:sz w:val="20"/>
                <w:szCs w:val="20"/>
                <w:lang w:val="en-US"/>
              </w:rPr>
            </w:pPr>
            <w:r w:rsidRPr="00CE0595">
              <w:rPr>
                <w:rFonts w:ascii="Arial" w:hAnsi="Arial" w:cs="Arial"/>
                <w:i/>
                <w:sz w:val="20"/>
                <w:szCs w:val="20"/>
                <w:lang w:val="en-US"/>
              </w:rPr>
              <w:t>Abbreviations: AFB, acid-fast bacilli; CNS, central nervous system; CSF, cerebrospinal fluid; CT, computed tomography; IGRA, interferon gamma release assay; MRI, magnetic resonance imaging; NAAT, nucleic acid amplification test; TB, tuberculosis; TST, tuberculosis skin test; US, ultrasound</w:t>
            </w:r>
          </w:p>
        </w:tc>
        <w:tc>
          <w:tcPr>
            <w:tcW w:w="448" w:type="dxa"/>
            <w:shd w:val="clear" w:color="auto" w:fill="auto"/>
          </w:tcPr>
          <w:p w:rsidR="00653179" w:rsidRPr="00CE0595" w:rsidRDefault="00653179" w:rsidP="00B04273">
            <w:pPr>
              <w:jc w:val="both"/>
              <w:rPr>
                <w:rFonts w:ascii="Arial" w:hAnsi="Arial" w:cs="Arial"/>
                <w:sz w:val="18"/>
                <w:szCs w:val="18"/>
                <w:lang w:val="en-US"/>
              </w:rPr>
            </w:pPr>
          </w:p>
        </w:tc>
      </w:tr>
      <w:bookmarkEnd w:id="1"/>
      <w:bookmarkEnd w:id="2"/>
    </w:tbl>
    <w:p w:rsidR="00653179" w:rsidRDefault="00653179" w:rsidP="00653179">
      <w:pPr>
        <w:jc w:val="both"/>
        <w:rPr>
          <w:rFonts w:ascii="Arial" w:hAnsi="Arial" w:cs="Arial"/>
          <w:sz w:val="20"/>
          <w:szCs w:val="20"/>
          <w:lang w:val="en-US"/>
        </w:rPr>
      </w:pPr>
    </w:p>
    <w:p w:rsidR="00653179" w:rsidRDefault="00653179" w:rsidP="00653179">
      <w:pPr>
        <w:rPr>
          <w:rFonts w:ascii="Arial" w:hAnsi="Arial" w:cs="Arial"/>
          <w:sz w:val="20"/>
          <w:szCs w:val="20"/>
          <w:lang w:val="en-US"/>
        </w:rPr>
      </w:pPr>
      <w:r>
        <w:rPr>
          <w:rFonts w:ascii="Arial" w:hAnsi="Arial" w:cs="Arial"/>
          <w:sz w:val="20"/>
          <w:szCs w:val="20"/>
          <w:lang w:val="en-US"/>
        </w:rPr>
        <w:br w:type="page"/>
      </w:r>
    </w:p>
    <w:p w:rsidR="00653179" w:rsidRDefault="00653179" w:rsidP="00653179">
      <w:pPr>
        <w:jc w:val="both"/>
        <w:rPr>
          <w:rFonts w:ascii="Arial" w:hAnsi="Arial" w:cs="Arial"/>
          <w:sz w:val="20"/>
          <w:szCs w:val="20"/>
          <w:lang w:val="en-US"/>
        </w:rPr>
      </w:pPr>
      <w:r>
        <w:rPr>
          <w:rFonts w:ascii="Arial" w:hAnsi="Arial" w:cs="Arial"/>
          <w:sz w:val="20"/>
          <w:szCs w:val="20"/>
          <w:lang w:val="en-US"/>
        </w:rPr>
        <w:lastRenderedPageBreak/>
        <w:t>Additional files 2.</w:t>
      </w:r>
      <w:r w:rsidRPr="0001653F">
        <w:rPr>
          <w:lang w:val="en-US"/>
        </w:rPr>
        <w:t xml:space="preserve"> </w:t>
      </w:r>
      <w:r w:rsidRPr="0001653F">
        <w:rPr>
          <w:rFonts w:ascii="Arial" w:hAnsi="Arial" w:cs="Arial"/>
          <w:sz w:val="20"/>
          <w:szCs w:val="20"/>
          <w:lang w:val="en-US"/>
        </w:rPr>
        <w:t>Model consent form and other related documentation given to participants and authorized surrogates</w:t>
      </w:r>
      <w:r>
        <w:rPr>
          <w:rFonts w:ascii="Arial" w:hAnsi="Arial" w:cs="Arial"/>
          <w:sz w:val="20"/>
          <w:szCs w:val="20"/>
          <w:lang w:val="en-US"/>
        </w:rPr>
        <w:t xml:space="preserve"> </w:t>
      </w:r>
    </w:p>
    <w:p w:rsidR="00653179" w:rsidRDefault="00653179" w:rsidP="00653179">
      <w:pPr>
        <w:jc w:val="both"/>
        <w:rPr>
          <w:rFonts w:ascii="Arial" w:hAnsi="Arial" w:cs="Arial"/>
          <w:sz w:val="20"/>
          <w:szCs w:val="20"/>
          <w:lang w:val="en-US"/>
        </w:rPr>
      </w:pPr>
    </w:p>
    <w:p w:rsidR="00653179" w:rsidRDefault="00653179" w:rsidP="00653179">
      <w:pPr>
        <w:jc w:val="both"/>
        <w:rPr>
          <w:rFonts w:ascii="Arial" w:hAnsi="Arial" w:cs="Arial"/>
          <w:sz w:val="20"/>
          <w:szCs w:val="20"/>
          <w:lang w:val="en-US"/>
        </w:rPr>
      </w:pPr>
      <w:r>
        <w:rPr>
          <w:rFonts w:ascii="Arial" w:hAnsi="Arial" w:cs="Arial"/>
          <w:sz w:val="20"/>
          <w:szCs w:val="20"/>
          <w:lang w:val="en-US"/>
        </w:rPr>
        <w:t>Additional file 3. SOP Biobank</w:t>
      </w:r>
    </w:p>
    <w:p w:rsidR="00653179" w:rsidRPr="0001653F" w:rsidRDefault="00653179" w:rsidP="00653179">
      <w:pPr>
        <w:jc w:val="both"/>
        <w:rPr>
          <w:rFonts w:ascii="Arial" w:hAnsi="Arial" w:cs="Arial"/>
          <w:sz w:val="20"/>
          <w:szCs w:val="20"/>
          <w:lang w:val="en-US"/>
        </w:rPr>
      </w:pPr>
      <w:r w:rsidRPr="0001653F">
        <w:rPr>
          <w:rFonts w:ascii="Arial" w:hAnsi="Arial" w:cs="Arial"/>
          <w:sz w:val="20"/>
          <w:szCs w:val="20"/>
          <w:lang w:val="en-US"/>
        </w:rPr>
        <w:t xml:space="preserve">Storage in biobank </w:t>
      </w:r>
    </w:p>
    <w:p w:rsidR="00653179" w:rsidRPr="0001653F" w:rsidRDefault="00653179" w:rsidP="00653179">
      <w:pPr>
        <w:jc w:val="both"/>
        <w:rPr>
          <w:rFonts w:ascii="Arial" w:hAnsi="Arial" w:cs="Arial"/>
          <w:sz w:val="20"/>
          <w:szCs w:val="20"/>
          <w:lang w:val="en-US"/>
        </w:rPr>
      </w:pPr>
      <w:r w:rsidRPr="0001653F">
        <w:rPr>
          <w:rFonts w:ascii="Arial" w:hAnsi="Arial" w:cs="Arial"/>
          <w:sz w:val="20"/>
          <w:szCs w:val="20"/>
          <w:lang w:val="en-US"/>
        </w:rPr>
        <w:t>The following samples will be stored at -80°C:</w:t>
      </w:r>
    </w:p>
    <w:p w:rsidR="00653179" w:rsidRPr="0001653F" w:rsidRDefault="00653179" w:rsidP="00653179">
      <w:pPr>
        <w:jc w:val="both"/>
        <w:rPr>
          <w:rFonts w:ascii="Arial" w:hAnsi="Arial" w:cs="Arial"/>
          <w:sz w:val="20"/>
          <w:szCs w:val="20"/>
          <w:lang w:val="en-US"/>
        </w:rPr>
      </w:pPr>
      <w:r w:rsidRPr="0001653F">
        <w:rPr>
          <w:rFonts w:ascii="Arial" w:hAnsi="Arial" w:cs="Arial"/>
          <w:sz w:val="20"/>
          <w:szCs w:val="20"/>
          <w:lang w:val="en-US"/>
        </w:rPr>
        <w:t>‒</w:t>
      </w:r>
      <w:r>
        <w:rPr>
          <w:rFonts w:ascii="Arial" w:hAnsi="Arial" w:cs="Arial"/>
          <w:sz w:val="20"/>
          <w:szCs w:val="20"/>
          <w:lang w:val="en-US"/>
        </w:rPr>
        <w:t xml:space="preserve"> </w:t>
      </w:r>
      <w:r w:rsidRPr="0001653F">
        <w:rPr>
          <w:rFonts w:ascii="Arial" w:hAnsi="Arial" w:cs="Arial"/>
          <w:sz w:val="20"/>
          <w:szCs w:val="20"/>
          <w:lang w:val="en-US"/>
        </w:rPr>
        <w:t>In all patients, HIV-infected and non infected:</w:t>
      </w:r>
    </w:p>
    <w:p w:rsidR="00653179" w:rsidRPr="0001653F" w:rsidRDefault="00653179" w:rsidP="00653179">
      <w:pPr>
        <w:ind w:left="708"/>
        <w:jc w:val="both"/>
        <w:rPr>
          <w:rFonts w:ascii="Arial" w:hAnsi="Arial" w:cs="Arial"/>
          <w:sz w:val="20"/>
          <w:szCs w:val="20"/>
          <w:lang w:val="en-US"/>
        </w:rPr>
      </w:pPr>
      <w:r>
        <w:rPr>
          <w:rFonts w:ascii="Arial" w:hAnsi="Arial" w:cs="Arial"/>
          <w:sz w:val="20"/>
          <w:szCs w:val="20"/>
          <w:lang w:val="en-US"/>
        </w:rPr>
        <w:t xml:space="preserve">• </w:t>
      </w:r>
      <w:r w:rsidRPr="0001653F">
        <w:rPr>
          <w:rFonts w:ascii="Arial" w:hAnsi="Arial" w:cs="Arial"/>
          <w:sz w:val="20"/>
          <w:szCs w:val="20"/>
          <w:lang w:val="en-US"/>
        </w:rPr>
        <w:t xml:space="preserve">Whole blood will be stored at inclusion. </w:t>
      </w:r>
    </w:p>
    <w:p w:rsidR="00653179" w:rsidRPr="0001653F" w:rsidRDefault="00653179" w:rsidP="00653179">
      <w:pPr>
        <w:ind w:left="708"/>
        <w:jc w:val="both"/>
        <w:rPr>
          <w:rFonts w:ascii="Arial" w:hAnsi="Arial" w:cs="Arial"/>
          <w:sz w:val="20"/>
          <w:szCs w:val="20"/>
          <w:lang w:val="en-US"/>
        </w:rPr>
      </w:pPr>
      <w:r>
        <w:rPr>
          <w:rFonts w:ascii="Arial" w:hAnsi="Arial" w:cs="Arial"/>
          <w:sz w:val="20"/>
          <w:szCs w:val="20"/>
          <w:lang w:val="en-US"/>
        </w:rPr>
        <w:t xml:space="preserve">• </w:t>
      </w:r>
      <w:r w:rsidRPr="0001653F">
        <w:rPr>
          <w:rFonts w:ascii="Arial" w:hAnsi="Arial" w:cs="Arial"/>
          <w:sz w:val="20"/>
          <w:szCs w:val="20"/>
          <w:lang w:val="en-US"/>
        </w:rPr>
        <w:t xml:space="preserve">Plasma will be stored at Pre-inclusion/inclusion, </w:t>
      </w:r>
      <w:r>
        <w:rPr>
          <w:rFonts w:ascii="Arial" w:hAnsi="Arial" w:cs="Arial"/>
          <w:sz w:val="20"/>
          <w:szCs w:val="20"/>
          <w:lang w:val="en-US"/>
        </w:rPr>
        <w:t xml:space="preserve">day </w:t>
      </w:r>
      <w:r w:rsidRPr="0001653F">
        <w:rPr>
          <w:rFonts w:ascii="Arial" w:hAnsi="Arial" w:cs="Arial"/>
          <w:sz w:val="20"/>
          <w:szCs w:val="20"/>
          <w:lang w:val="en-US"/>
        </w:rPr>
        <w:t xml:space="preserve">7, </w:t>
      </w:r>
      <w:r>
        <w:rPr>
          <w:rFonts w:ascii="Arial" w:hAnsi="Arial" w:cs="Arial"/>
          <w:sz w:val="20"/>
          <w:szCs w:val="20"/>
          <w:lang w:val="en-US"/>
        </w:rPr>
        <w:t xml:space="preserve">week 6 and week </w:t>
      </w:r>
      <w:r w:rsidRPr="0001653F">
        <w:rPr>
          <w:rFonts w:ascii="Arial" w:hAnsi="Arial" w:cs="Arial"/>
          <w:sz w:val="20"/>
          <w:szCs w:val="20"/>
          <w:lang w:val="en-US"/>
        </w:rPr>
        <w:t>12.</w:t>
      </w:r>
    </w:p>
    <w:p w:rsidR="00653179" w:rsidRPr="0001653F" w:rsidRDefault="00653179" w:rsidP="00653179">
      <w:pPr>
        <w:ind w:left="708"/>
        <w:jc w:val="both"/>
        <w:rPr>
          <w:rFonts w:ascii="Arial" w:hAnsi="Arial" w:cs="Arial"/>
          <w:sz w:val="20"/>
          <w:szCs w:val="20"/>
          <w:lang w:val="en-US"/>
        </w:rPr>
      </w:pPr>
      <w:r>
        <w:rPr>
          <w:rFonts w:ascii="Arial" w:hAnsi="Arial" w:cs="Arial"/>
          <w:sz w:val="20"/>
          <w:szCs w:val="20"/>
          <w:lang w:val="en-US"/>
        </w:rPr>
        <w:t xml:space="preserve">• </w:t>
      </w:r>
      <w:r w:rsidRPr="0001653F">
        <w:rPr>
          <w:rFonts w:ascii="Arial" w:hAnsi="Arial" w:cs="Arial"/>
          <w:sz w:val="20"/>
          <w:szCs w:val="20"/>
          <w:lang w:val="en-US"/>
        </w:rPr>
        <w:t xml:space="preserve">CSF will be stored at Pre-inclusion and </w:t>
      </w:r>
      <w:r>
        <w:rPr>
          <w:rFonts w:ascii="Arial" w:hAnsi="Arial" w:cs="Arial"/>
          <w:sz w:val="20"/>
          <w:szCs w:val="20"/>
          <w:lang w:val="en-US"/>
        </w:rPr>
        <w:t xml:space="preserve">day </w:t>
      </w:r>
      <w:r w:rsidRPr="0001653F">
        <w:rPr>
          <w:rFonts w:ascii="Arial" w:hAnsi="Arial" w:cs="Arial"/>
          <w:sz w:val="20"/>
          <w:szCs w:val="20"/>
          <w:lang w:val="en-US"/>
        </w:rPr>
        <w:t xml:space="preserve">7. </w:t>
      </w:r>
    </w:p>
    <w:p w:rsidR="00653179" w:rsidRPr="0001653F" w:rsidRDefault="00653179" w:rsidP="00653179">
      <w:pPr>
        <w:ind w:left="708"/>
        <w:jc w:val="both"/>
        <w:rPr>
          <w:rFonts w:ascii="Arial" w:hAnsi="Arial" w:cs="Arial"/>
          <w:sz w:val="20"/>
          <w:szCs w:val="20"/>
          <w:lang w:val="en-US"/>
        </w:rPr>
      </w:pPr>
      <w:r>
        <w:rPr>
          <w:rFonts w:ascii="Arial" w:hAnsi="Arial" w:cs="Arial"/>
          <w:sz w:val="20"/>
          <w:szCs w:val="20"/>
          <w:lang w:val="en-US"/>
        </w:rPr>
        <w:t xml:space="preserve">• </w:t>
      </w:r>
      <w:r w:rsidRPr="0001653F">
        <w:rPr>
          <w:rFonts w:ascii="Arial" w:hAnsi="Arial" w:cs="Arial"/>
          <w:sz w:val="20"/>
          <w:szCs w:val="20"/>
          <w:lang w:val="en-US"/>
        </w:rPr>
        <w:t>All mycobacterial strains isolated in culture from CSF or pulmonary specimens will be stored for deferred mycobacteriology tests (see section 4.7.5).</w:t>
      </w:r>
    </w:p>
    <w:p w:rsidR="00653179" w:rsidRPr="0001653F" w:rsidRDefault="00653179" w:rsidP="00653179">
      <w:pPr>
        <w:ind w:left="708"/>
        <w:jc w:val="both"/>
        <w:rPr>
          <w:rFonts w:ascii="Arial" w:hAnsi="Arial" w:cs="Arial"/>
          <w:sz w:val="20"/>
          <w:szCs w:val="20"/>
          <w:lang w:val="en-US"/>
        </w:rPr>
      </w:pPr>
      <w:r w:rsidRPr="0001653F">
        <w:rPr>
          <w:rFonts w:ascii="Arial" w:hAnsi="Arial" w:cs="Arial"/>
          <w:sz w:val="20"/>
          <w:szCs w:val="20"/>
          <w:lang w:val="en-US"/>
        </w:rPr>
        <w:t>‒</w:t>
      </w:r>
      <w:r>
        <w:rPr>
          <w:rFonts w:ascii="Arial" w:hAnsi="Arial" w:cs="Arial"/>
          <w:sz w:val="20"/>
          <w:szCs w:val="20"/>
          <w:lang w:val="en-US"/>
        </w:rPr>
        <w:t xml:space="preserve"> </w:t>
      </w:r>
      <w:r w:rsidRPr="0001653F">
        <w:rPr>
          <w:rFonts w:ascii="Arial" w:hAnsi="Arial" w:cs="Arial"/>
          <w:sz w:val="20"/>
          <w:szCs w:val="20"/>
          <w:lang w:val="en-US"/>
        </w:rPr>
        <w:t>In all HIV-infected patients:</w:t>
      </w:r>
    </w:p>
    <w:p w:rsidR="00653179" w:rsidRPr="0001653F" w:rsidRDefault="00653179" w:rsidP="00653179">
      <w:pPr>
        <w:ind w:left="708"/>
        <w:jc w:val="both"/>
        <w:rPr>
          <w:rFonts w:ascii="Arial" w:hAnsi="Arial" w:cs="Arial"/>
          <w:sz w:val="20"/>
          <w:szCs w:val="20"/>
          <w:lang w:val="en-US"/>
        </w:rPr>
      </w:pPr>
      <w:r>
        <w:rPr>
          <w:rFonts w:ascii="Arial" w:hAnsi="Arial" w:cs="Arial"/>
          <w:sz w:val="20"/>
          <w:szCs w:val="20"/>
          <w:lang w:val="en-US"/>
        </w:rPr>
        <w:t xml:space="preserve">• </w:t>
      </w:r>
      <w:r w:rsidRPr="0001653F">
        <w:rPr>
          <w:rFonts w:ascii="Arial" w:hAnsi="Arial" w:cs="Arial"/>
          <w:sz w:val="20"/>
          <w:szCs w:val="20"/>
          <w:lang w:val="en-US"/>
        </w:rPr>
        <w:t>DBS will be stored at Pre-inclusion/Inclusion for future HIV genotypic characterization.</w:t>
      </w:r>
    </w:p>
    <w:p w:rsidR="00653179" w:rsidRPr="0001653F" w:rsidRDefault="00653179" w:rsidP="00653179">
      <w:pPr>
        <w:ind w:left="708"/>
        <w:jc w:val="both"/>
        <w:rPr>
          <w:rFonts w:ascii="Arial" w:hAnsi="Arial" w:cs="Arial"/>
          <w:sz w:val="20"/>
          <w:szCs w:val="20"/>
          <w:lang w:val="en-US"/>
        </w:rPr>
      </w:pPr>
      <w:r>
        <w:rPr>
          <w:rFonts w:ascii="Arial" w:hAnsi="Arial" w:cs="Arial"/>
          <w:sz w:val="20"/>
          <w:szCs w:val="20"/>
          <w:lang w:val="en-US"/>
        </w:rPr>
        <w:t xml:space="preserve">• </w:t>
      </w:r>
      <w:r w:rsidRPr="0001653F">
        <w:rPr>
          <w:rFonts w:ascii="Arial" w:hAnsi="Arial" w:cs="Arial"/>
          <w:sz w:val="20"/>
          <w:szCs w:val="20"/>
          <w:lang w:val="en-US"/>
        </w:rPr>
        <w:t>Plasma will be sto</w:t>
      </w:r>
      <w:r>
        <w:rPr>
          <w:rFonts w:ascii="Arial" w:hAnsi="Arial" w:cs="Arial"/>
          <w:sz w:val="20"/>
          <w:szCs w:val="20"/>
          <w:lang w:val="en-US"/>
        </w:rPr>
        <w:t>red at w</w:t>
      </w:r>
      <w:r w:rsidRPr="0001653F">
        <w:rPr>
          <w:rFonts w:ascii="Arial" w:hAnsi="Arial" w:cs="Arial"/>
          <w:sz w:val="20"/>
          <w:szCs w:val="20"/>
          <w:lang w:val="en-US"/>
        </w:rPr>
        <w:t>eek</w:t>
      </w:r>
      <w:r>
        <w:rPr>
          <w:rFonts w:ascii="Arial" w:hAnsi="Arial" w:cs="Arial"/>
          <w:sz w:val="20"/>
          <w:szCs w:val="20"/>
          <w:lang w:val="en-US"/>
        </w:rPr>
        <w:t xml:space="preserve"> </w:t>
      </w:r>
      <w:r w:rsidRPr="0001653F">
        <w:rPr>
          <w:rFonts w:ascii="Arial" w:hAnsi="Arial" w:cs="Arial"/>
          <w:sz w:val="20"/>
          <w:szCs w:val="20"/>
          <w:lang w:val="en-US"/>
        </w:rPr>
        <w:t xml:space="preserve">8 and </w:t>
      </w:r>
      <w:r>
        <w:rPr>
          <w:rFonts w:ascii="Arial" w:hAnsi="Arial" w:cs="Arial"/>
          <w:sz w:val="20"/>
          <w:szCs w:val="20"/>
          <w:lang w:val="en-US"/>
        </w:rPr>
        <w:t>w</w:t>
      </w:r>
      <w:r w:rsidRPr="0001653F">
        <w:rPr>
          <w:rFonts w:ascii="Arial" w:hAnsi="Arial" w:cs="Arial"/>
          <w:sz w:val="20"/>
          <w:szCs w:val="20"/>
          <w:lang w:val="en-US"/>
        </w:rPr>
        <w:t>eek</w:t>
      </w:r>
      <w:r>
        <w:rPr>
          <w:rFonts w:ascii="Arial" w:hAnsi="Arial" w:cs="Arial"/>
          <w:sz w:val="20"/>
          <w:szCs w:val="20"/>
          <w:lang w:val="en-US"/>
        </w:rPr>
        <w:t xml:space="preserve"> </w:t>
      </w:r>
      <w:r w:rsidRPr="0001653F">
        <w:rPr>
          <w:rFonts w:ascii="Arial" w:hAnsi="Arial" w:cs="Arial"/>
          <w:sz w:val="20"/>
          <w:szCs w:val="20"/>
          <w:lang w:val="en-US"/>
        </w:rPr>
        <w:t>40 for future HIV resistance tests.</w:t>
      </w:r>
    </w:p>
    <w:p w:rsidR="00653179" w:rsidRPr="0001653F" w:rsidRDefault="00653179" w:rsidP="00653179">
      <w:pPr>
        <w:jc w:val="both"/>
        <w:rPr>
          <w:rFonts w:ascii="Arial" w:hAnsi="Arial" w:cs="Arial"/>
          <w:sz w:val="20"/>
          <w:szCs w:val="20"/>
          <w:lang w:val="en-US"/>
        </w:rPr>
      </w:pPr>
      <w:r w:rsidRPr="0001653F">
        <w:rPr>
          <w:rFonts w:ascii="Arial" w:hAnsi="Arial" w:cs="Arial"/>
          <w:sz w:val="20"/>
          <w:szCs w:val="20"/>
          <w:lang w:val="en-US"/>
        </w:rPr>
        <w:t>‒</w:t>
      </w:r>
      <w:r>
        <w:rPr>
          <w:rFonts w:ascii="Arial" w:hAnsi="Arial" w:cs="Arial"/>
          <w:sz w:val="20"/>
          <w:szCs w:val="20"/>
          <w:lang w:val="en-US"/>
        </w:rPr>
        <w:t xml:space="preserve"> </w:t>
      </w:r>
      <w:r w:rsidRPr="0001653F">
        <w:rPr>
          <w:rFonts w:ascii="Arial" w:hAnsi="Arial" w:cs="Arial"/>
          <w:sz w:val="20"/>
          <w:szCs w:val="20"/>
          <w:lang w:val="en-US"/>
        </w:rPr>
        <w:t>In patients who participate in sub-studies:</w:t>
      </w:r>
    </w:p>
    <w:p w:rsidR="00653179" w:rsidRPr="0001653F" w:rsidRDefault="00653179" w:rsidP="00653179">
      <w:pPr>
        <w:ind w:left="708"/>
        <w:jc w:val="both"/>
        <w:rPr>
          <w:rFonts w:ascii="Arial" w:hAnsi="Arial" w:cs="Arial"/>
          <w:sz w:val="20"/>
          <w:szCs w:val="20"/>
          <w:lang w:val="en-US"/>
        </w:rPr>
      </w:pPr>
      <w:r>
        <w:rPr>
          <w:rFonts w:ascii="Arial" w:hAnsi="Arial" w:cs="Arial"/>
          <w:sz w:val="20"/>
          <w:szCs w:val="20"/>
          <w:lang w:val="en-US"/>
        </w:rPr>
        <w:t xml:space="preserve">• </w:t>
      </w:r>
      <w:r w:rsidRPr="0001653F">
        <w:rPr>
          <w:rFonts w:ascii="Arial" w:hAnsi="Arial" w:cs="Arial"/>
          <w:sz w:val="20"/>
          <w:szCs w:val="20"/>
          <w:lang w:val="en-US"/>
        </w:rPr>
        <w:t xml:space="preserve">PK-PD sub-study: Plasma and CSF will be stored at </w:t>
      </w:r>
      <w:r>
        <w:rPr>
          <w:rFonts w:ascii="Arial" w:hAnsi="Arial" w:cs="Arial"/>
          <w:sz w:val="20"/>
          <w:szCs w:val="20"/>
          <w:lang w:val="en-US"/>
        </w:rPr>
        <w:t xml:space="preserve">day </w:t>
      </w:r>
      <w:r w:rsidRPr="0001653F">
        <w:rPr>
          <w:rFonts w:ascii="Arial" w:hAnsi="Arial" w:cs="Arial"/>
          <w:sz w:val="20"/>
          <w:szCs w:val="20"/>
          <w:lang w:val="en-US"/>
        </w:rPr>
        <w:t xml:space="preserve">7 and </w:t>
      </w:r>
      <w:r>
        <w:rPr>
          <w:rFonts w:ascii="Arial" w:hAnsi="Arial" w:cs="Arial"/>
          <w:sz w:val="20"/>
          <w:szCs w:val="20"/>
          <w:lang w:val="en-US"/>
        </w:rPr>
        <w:t>week 6</w:t>
      </w:r>
      <w:r w:rsidRPr="0001653F">
        <w:rPr>
          <w:rFonts w:ascii="Arial" w:hAnsi="Arial" w:cs="Arial"/>
          <w:sz w:val="20"/>
          <w:szCs w:val="20"/>
          <w:lang w:val="en-US"/>
        </w:rPr>
        <w:t xml:space="preserve"> for 40 participants in the four countries (see section 4.14.1).</w:t>
      </w:r>
    </w:p>
    <w:p w:rsidR="00653179" w:rsidRPr="0001653F" w:rsidRDefault="00653179" w:rsidP="00653179">
      <w:pPr>
        <w:ind w:left="708"/>
        <w:jc w:val="both"/>
        <w:rPr>
          <w:rFonts w:ascii="Arial" w:hAnsi="Arial" w:cs="Arial"/>
          <w:sz w:val="20"/>
          <w:szCs w:val="20"/>
          <w:lang w:val="en-US"/>
        </w:rPr>
      </w:pPr>
      <w:r>
        <w:rPr>
          <w:rFonts w:ascii="Arial" w:hAnsi="Arial" w:cs="Arial"/>
          <w:sz w:val="20"/>
          <w:szCs w:val="20"/>
          <w:lang w:val="en-US"/>
        </w:rPr>
        <w:t xml:space="preserve">• </w:t>
      </w:r>
      <w:r w:rsidRPr="0001653F">
        <w:rPr>
          <w:rFonts w:ascii="Arial" w:hAnsi="Arial" w:cs="Arial"/>
          <w:sz w:val="20"/>
          <w:szCs w:val="20"/>
          <w:lang w:val="en-US"/>
        </w:rPr>
        <w:t xml:space="preserve">MULTI-OMICS sub-study: CSF will be stored </w:t>
      </w:r>
      <w:r>
        <w:rPr>
          <w:rFonts w:ascii="Arial" w:hAnsi="Arial" w:cs="Arial"/>
          <w:sz w:val="20"/>
          <w:szCs w:val="20"/>
          <w:lang w:val="en-US"/>
        </w:rPr>
        <w:t xml:space="preserve">day </w:t>
      </w:r>
      <w:r w:rsidRPr="0001653F">
        <w:rPr>
          <w:rFonts w:ascii="Arial" w:hAnsi="Arial" w:cs="Arial"/>
          <w:sz w:val="20"/>
          <w:szCs w:val="20"/>
          <w:lang w:val="en-US"/>
        </w:rPr>
        <w:t xml:space="preserve">7 and at </w:t>
      </w:r>
      <w:r>
        <w:rPr>
          <w:rFonts w:ascii="Arial" w:hAnsi="Arial" w:cs="Arial"/>
          <w:sz w:val="20"/>
          <w:szCs w:val="20"/>
          <w:lang w:val="en-US"/>
        </w:rPr>
        <w:t xml:space="preserve">week </w:t>
      </w:r>
      <w:r w:rsidRPr="0001653F">
        <w:rPr>
          <w:rFonts w:ascii="Arial" w:hAnsi="Arial" w:cs="Arial"/>
          <w:sz w:val="20"/>
          <w:szCs w:val="20"/>
          <w:lang w:val="en-US"/>
        </w:rPr>
        <w:t xml:space="preserve">4, and plasma will be stored at </w:t>
      </w:r>
      <w:r>
        <w:rPr>
          <w:rFonts w:ascii="Arial" w:hAnsi="Arial" w:cs="Arial"/>
          <w:sz w:val="20"/>
          <w:szCs w:val="20"/>
          <w:lang w:val="en-US"/>
        </w:rPr>
        <w:t>day 0</w:t>
      </w:r>
      <w:r w:rsidRPr="0001653F">
        <w:rPr>
          <w:rFonts w:ascii="Arial" w:hAnsi="Arial" w:cs="Arial"/>
          <w:sz w:val="20"/>
          <w:szCs w:val="20"/>
          <w:lang w:val="en-US"/>
        </w:rPr>
        <w:t xml:space="preserve">, </w:t>
      </w:r>
      <w:r>
        <w:rPr>
          <w:rFonts w:ascii="Arial" w:hAnsi="Arial" w:cs="Arial"/>
          <w:sz w:val="20"/>
          <w:szCs w:val="20"/>
          <w:lang w:val="en-US"/>
        </w:rPr>
        <w:t xml:space="preserve">day </w:t>
      </w:r>
      <w:r w:rsidRPr="0001653F">
        <w:rPr>
          <w:rFonts w:ascii="Arial" w:hAnsi="Arial" w:cs="Arial"/>
          <w:sz w:val="20"/>
          <w:szCs w:val="20"/>
          <w:lang w:val="en-US"/>
        </w:rPr>
        <w:t xml:space="preserve">3, </w:t>
      </w:r>
      <w:r>
        <w:rPr>
          <w:rFonts w:ascii="Arial" w:hAnsi="Arial" w:cs="Arial"/>
          <w:sz w:val="20"/>
          <w:szCs w:val="20"/>
          <w:lang w:val="en-US"/>
        </w:rPr>
        <w:t xml:space="preserve">day </w:t>
      </w:r>
      <w:r w:rsidRPr="0001653F">
        <w:rPr>
          <w:rFonts w:ascii="Arial" w:hAnsi="Arial" w:cs="Arial"/>
          <w:sz w:val="20"/>
          <w:szCs w:val="20"/>
          <w:lang w:val="en-US"/>
        </w:rPr>
        <w:t xml:space="preserve">7, </w:t>
      </w:r>
      <w:r>
        <w:rPr>
          <w:rFonts w:ascii="Arial" w:hAnsi="Arial" w:cs="Arial"/>
          <w:sz w:val="20"/>
          <w:szCs w:val="20"/>
          <w:lang w:val="en-US"/>
        </w:rPr>
        <w:t xml:space="preserve">week </w:t>
      </w:r>
      <w:r w:rsidRPr="0001653F">
        <w:rPr>
          <w:rFonts w:ascii="Arial" w:hAnsi="Arial" w:cs="Arial"/>
          <w:sz w:val="20"/>
          <w:szCs w:val="20"/>
          <w:lang w:val="en-US"/>
        </w:rPr>
        <w:t xml:space="preserve">2, </w:t>
      </w:r>
      <w:r>
        <w:rPr>
          <w:rFonts w:ascii="Arial" w:hAnsi="Arial" w:cs="Arial"/>
          <w:sz w:val="20"/>
          <w:szCs w:val="20"/>
          <w:lang w:val="en-US"/>
        </w:rPr>
        <w:t xml:space="preserve">week 4 and week </w:t>
      </w:r>
      <w:r w:rsidRPr="0001653F">
        <w:rPr>
          <w:rFonts w:ascii="Arial" w:hAnsi="Arial" w:cs="Arial"/>
          <w:sz w:val="20"/>
          <w:szCs w:val="20"/>
          <w:lang w:val="en-US"/>
        </w:rPr>
        <w:t>8 for 160 participants in South Africa</w:t>
      </w:r>
      <w:r>
        <w:rPr>
          <w:rFonts w:ascii="Arial" w:hAnsi="Arial" w:cs="Arial"/>
          <w:sz w:val="20"/>
          <w:szCs w:val="20"/>
          <w:lang w:val="en-US"/>
        </w:rPr>
        <w:t>.</w:t>
      </w:r>
    </w:p>
    <w:p w:rsidR="00653179" w:rsidRPr="0001653F" w:rsidRDefault="00653179" w:rsidP="00653179">
      <w:pPr>
        <w:jc w:val="both"/>
        <w:rPr>
          <w:rFonts w:ascii="Arial" w:hAnsi="Arial" w:cs="Arial"/>
          <w:sz w:val="20"/>
          <w:szCs w:val="20"/>
          <w:lang w:val="en-US"/>
        </w:rPr>
      </w:pPr>
      <w:r w:rsidRPr="0001653F">
        <w:rPr>
          <w:rFonts w:ascii="Arial" w:hAnsi="Arial" w:cs="Arial"/>
          <w:sz w:val="20"/>
          <w:szCs w:val="20"/>
          <w:lang w:val="en-US"/>
        </w:rPr>
        <w:t>Shipment of samples</w:t>
      </w:r>
    </w:p>
    <w:p w:rsidR="00653179" w:rsidRPr="0001653F" w:rsidRDefault="00653179" w:rsidP="00653179">
      <w:pPr>
        <w:jc w:val="both"/>
        <w:rPr>
          <w:rFonts w:ascii="Arial" w:hAnsi="Arial" w:cs="Arial"/>
          <w:sz w:val="20"/>
          <w:szCs w:val="20"/>
          <w:lang w:val="en-US"/>
        </w:rPr>
      </w:pPr>
      <w:r w:rsidRPr="0001653F">
        <w:rPr>
          <w:rFonts w:ascii="Arial" w:hAnsi="Arial" w:cs="Arial"/>
          <w:sz w:val="20"/>
          <w:szCs w:val="20"/>
          <w:lang w:val="en-US"/>
        </w:rPr>
        <w:t xml:space="preserve">Selected isolates will be shipped to the Hospital Clinic de Barcelona (HCB), Barcelona, Spain, for Drug Sensitivity Testing (DST) for LZD, Second-line DST and drug combination synergism studies. </w:t>
      </w:r>
    </w:p>
    <w:p w:rsidR="00653179" w:rsidRPr="0001653F" w:rsidRDefault="00653179" w:rsidP="00653179">
      <w:pPr>
        <w:jc w:val="both"/>
        <w:rPr>
          <w:rFonts w:ascii="Arial" w:hAnsi="Arial" w:cs="Arial"/>
          <w:sz w:val="20"/>
          <w:szCs w:val="20"/>
          <w:lang w:val="en-US"/>
        </w:rPr>
      </w:pPr>
      <w:r w:rsidRPr="0001653F">
        <w:rPr>
          <w:rFonts w:ascii="Arial" w:hAnsi="Arial" w:cs="Arial"/>
          <w:sz w:val="20"/>
          <w:szCs w:val="20"/>
          <w:lang w:val="en-US"/>
        </w:rPr>
        <w:t xml:space="preserve">DBS for HIV characterization (only for HIV-infected patients) will be sent to the Hôpitaux Universitaires de Genève (HUG), Geneva, Switzerland for HIV genotypic characterization.  </w:t>
      </w:r>
    </w:p>
    <w:p w:rsidR="00653179" w:rsidRPr="0001653F" w:rsidRDefault="00653179" w:rsidP="00653179">
      <w:pPr>
        <w:jc w:val="both"/>
        <w:rPr>
          <w:rFonts w:ascii="Arial" w:hAnsi="Arial" w:cs="Arial"/>
          <w:sz w:val="20"/>
          <w:szCs w:val="20"/>
          <w:lang w:val="en-US"/>
        </w:rPr>
      </w:pPr>
      <w:r w:rsidRPr="0001653F">
        <w:rPr>
          <w:rFonts w:ascii="Arial" w:hAnsi="Arial" w:cs="Arial"/>
          <w:sz w:val="20"/>
          <w:szCs w:val="20"/>
          <w:lang w:val="en-US"/>
        </w:rPr>
        <w:t>Other samples will be kept in the countries. Their subsequent use will be decided by mutual agreement within the framework of the General Assembly and under the supervision of the sponsor. Use by the laboratories of the countries concerned will be preferred, with the exception of special techniques justifying their transport to another country.</w:t>
      </w:r>
    </w:p>
    <w:p w:rsidR="00653179" w:rsidRDefault="00653179" w:rsidP="00653179">
      <w:pPr>
        <w:jc w:val="both"/>
        <w:rPr>
          <w:rFonts w:ascii="Arial" w:hAnsi="Arial" w:cs="Arial"/>
          <w:sz w:val="20"/>
          <w:szCs w:val="20"/>
          <w:lang w:val="en-US"/>
        </w:rPr>
      </w:pPr>
      <w:r w:rsidRPr="0001653F">
        <w:rPr>
          <w:rFonts w:ascii="Arial" w:hAnsi="Arial" w:cs="Arial"/>
          <w:sz w:val="20"/>
          <w:szCs w:val="20"/>
          <w:lang w:val="en-US"/>
        </w:rPr>
        <w:t>Samples will be stored as long as their quality allows their use.</w:t>
      </w:r>
    </w:p>
    <w:p w:rsidR="00653179" w:rsidRDefault="00653179" w:rsidP="00653179">
      <w:pPr>
        <w:jc w:val="both"/>
        <w:rPr>
          <w:rFonts w:ascii="Arial" w:hAnsi="Arial" w:cs="Arial"/>
          <w:sz w:val="20"/>
          <w:szCs w:val="20"/>
          <w:lang w:val="en-US"/>
        </w:rPr>
      </w:pPr>
    </w:p>
    <w:p w:rsidR="00653179" w:rsidRDefault="00653179" w:rsidP="00653179">
      <w:pPr>
        <w:jc w:val="both"/>
        <w:rPr>
          <w:rFonts w:ascii="Arial" w:hAnsi="Arial" w:cs="Arial"/>
          <w:sz w:val="20"/>
          <w:szCs w:val="20"/>
          <w:lang w:val="en-US"/>
        </w:rPr>
      </w:pPr>
      <w:r>
        <w:rPr>
          <w:rFonts w:ascii="Arial" w:hAnsi="Arial" w:cs="Arial"/>
          <w:sz w:val="20"/>
          <w:szCs w:val="20"/>
          <w:lang w:val="en-US"/>
        </w:rPr>
        <w:t>Additional file 4.</w:t>
      </w:r>
      <w:r w:rsidRPr="004271AB">
        <w:rPr>
          <w:lang w:val="en-US"/>
        </w:rPr>
        <w:t xml:space="preserve"> </w:t>
      </w:r>
      <w:r w:rsidRPr="003C26EC">
        <w:rPr>
          <w:rFonts w:ascii="Arial" w:hAnsi="Arial" w:cs="Arial"/>
          <w:sz w:val="20"/>
          <w:szCs w:val="20"/>
          <w:lang w:val="en-US"/>
        </w:rPr>
        <w:t>Ethical approval document</w:t>
      </w:r>
    </w:p>
    <w:p w:rsidR="00653179" w:rsidRDefault="00653179" w:rsidP="00653179">
      <w:pPr>
        <w:jc w:val="both"/>
        <w:rPr>
          <w:rFonts w:ascii="Arial" w:hAnsi="Arial" w:cs="Arial"/>
          <w:sz w:val="20"/>
          <w:szCs w:val="20"/>
          <w:lang w:val="en-US"/>
        </w:rPr>
      </w:pPr>
    </w:p>
    <w:p w:rsidR="00653179" w:rsidRPr="003C26EC" w:rsidRDefault="00653179" w:rsidP="00653179">
      <w:pPr>
        <w:jc w:val="both"/>
        <w:rPr>
          <w:rFonts w:ascii="Arial" w:hAnsi="Arial" w:cs="Arial"/>
          <w:sz w:val="20"/>
          <w:szCs w:val="20"/>
          <w:lang w:val="en-US"/>
        </w:rPr>
      </w:pPr>
      <w:r>
        <w:rPr>
          <w:rFonts w:ascii="Arial" w:hAnsi="Arial" w:cs="Arial"/>
          <w:sz w:val="20"/>
          <w:szCs w:val="20"/>
          <w:lang w:val="en-US"/>
        </w:rPr>
        <w:t xml:space="preserve">Additional file 5. </w:t>
      </w:r>
      <w:r w:rsidRPr="003C26EC">
        <w:rPr>
          <w:rFonts w:ascii="Arial" w:hAnsi="Arial" w:cs="Arial"/>
          <w:sz w:val="20"/>
          <w:szCs w:val="20"/>
          <w:lang w:val="en-US"/>
        </w:rPr>
        <w:t>Copy of the original funding documentation</w:t>
      </w:r>
    </w:p>
    <w:p w:rsidR="00653179" w:rsidRPr="0001653F" w:rsidRDefault="00653179" w:rsidP="00653179">
      <w:pPr>
        <w:jc w:val="both"/>
        <w:rPr>
          <w:rFonts w:ascii="Arial" w:hAnsi="Arial" w:cs="Arial"/>
          <w:sz w:val="20"/>
          <w:szCs w:val="20"/>
          <w:lang w:val="en-US"/>
        </w:rPr>
      </w:pPr>
    </w:p>
    <w:p w:rsidR="00653179" w:rsidRPr="00D87D9F" w:rsidRDefault="00653179" w:rsidP="00653179">
      <w:pPr>
        <w:jc w:val="both"/>
        <w:rPr>
          <w:rFonts w:ascii="Arial" w:hAnsi="Arial" w:cs="Arial"/>
          <w:sz w:val="20"/>
          <w:szCs w:val="20"/>
          <w:lang w:val="en-US"/>
        </w:rPr>
      </w:pPr>
      <w:r>
        <w:rPr>
          <w:rFonts w:ascii="Arial" w:hAnsi="Arial" w:cs="Arial"/>
          <w:sz w:val="20"/>
          <w:szCs w:val="20"/>
          <w:lang w:val="en-US"/>
        </w:rPr>
        <w:t>Additional file 6. C</w:t>
      </w:r>
      <w:r w:rsidRPr="009B0DD8">
        <w:rPr>
          <w:rFonts w:ascii="Arial" w:hAnsi="Arial" w:cs="Arial"/>
          <w:sz w:val="20"/>
          <w:szCs w:val="20"/>
          <w:lang w:val="en-US"/>
        </w:rPr>
        <w:t>ompleted SPIRIT checklist</w:t>
      </w:r>
    </w:p>
    <w:p w:rsidR="002F0F5E" w:rsidRDefault="00653179"/>
    <w:sectPr w:rsidR="002F0F5E" w:rsidSect="00A36109">
      <w:footerReference w:type="default" r:id="rId5"/>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haker2Lancet-Regular">
    <w:altName w:val="MS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3B7B" w:rsidRDefault="00653179">
    <w:pPr>
      <w:pStyle w:val="Footer"/>
      <w:jc w:val="center"/>
      <w:rPr>
        <w:caps/>
        <w:color w:val="5B9BD5" w:themeColor="accent1"/>
      </w:rPr>
    </w:pPr>
    <w:r>
      <w:rPr>
        <w:caps/>
        <w:color w:val="5B9BD5" w:themeColor="accent1"/>
      </w:rPr>
      <w:fldChar w:fldCharType="begin"/>
    </w:r>
    <w:r>
      <w:rPr>
        <w:caps/>
        <w:color w:val="5B9BD5" w:themeColor="accent1"/>
      </w:rPr>
      <w:instrText>PAGE   \* MERGEFORMAT</w:instrText>
    </w:r>
    <w:r>
      <w:rPr>
        <w:caps/>
        <w:color w:val="5B9BD5" w:themeColor="accent1"/>
      </w:rPr>
      <w:fldChar w:fldCharType="separate"/>
    </w:r>
    <w:r>
      <w:rPr>
        <w:caps/>
        <w:noProof/>
        <w:color w:val="5B9BD5" w:themeColor="accent1"/>
      </w:rPr>
      <w:t>1</w:t>
    </w:r>
    <w:r>
      <w:rPr>
        <w:caps/>
        <w:color w:val="5B9BD5" w:themeColor="accent1"/>
      </w:rPr>
      <w:fldChar w:fldCharType="end"/>
    </w:r>
  </w:p>
  <w:p w:rsidR="00D13B7B" w:rsidRDefault="00653179">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294789F"/>
    <w:multiLevelType w:val="hybridMultilevel"/>
    <w:tmpl w:val="57F4932C"/>
    <w:lvl w:ilvl="0" w:tplc="826C1276">
      <w:start w:val="1"/>
      <w:numFmt w:val="bullet"/>
      <w:pStyle w:val="Bullet1"/>
      <w:lvlText w:val="‒"/>
      <w:lvlJc w:val="left"/>
      <w:pPr>
        <w:ind w:left="1778" w:hanging="360"/>
      </w:pPr>
      <w:rPr>
        <w:rFonts w:ascii="Calibri" w:hAnsi="Calibri"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3179"/>
    <w:rsid w:val="0021090F"/>
    <w:rsid w:val="00653179"/>
    <w:rsid w:val="00C52827"/>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431FED-C341-4192-942B-A5AA63E34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3179"/>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53179"/>
    <w:pPr>
      <w:spacing w:after="0" w:line="240" w:lineRule="auto"/>
    </w:pPr>
    <w:rPr>
      <w:rFonts w:ascii="Calibri" w:eastAsia="Calibri" w:hAnsi="Calibri" w:cs="Times New Roman"/>
      <w:sz w:val="24"/>
      <w:szCs w:val="24"/>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653179"/>
    <w:pPr>
      <w:tabs>
        <w:tab w:val="center" w:pos="4536"/>
        <w:tab w:val="right" w:pos="9072"/>
      </w:tabs>
      <w:spacing w:after="0" w:line="240" w:lineRule="auto"/>
    </w:pPr>
  </w:style>
  <w:style w:type="character" w:customStyle="1" w:styleId="FooterChar">
    <w:name w:val="Footer Char"/>
    <w:basedOn w:val="DefaultParagraphFont"/>
    <w:link w:val="Footer"/>
    <w:uiPriority w:val="99"/>
    <w:rsid w:val="00653179"/>
    <w:rPr>
      <w:lang w:val="fr-FR"/>
    </w:rPr>
  </w:style>
  <w:style w:type="paragraph" w:customStyle="1" w:styleId="TEXTEPROTOCOLE">
    <w:name w:val="TEXTE PROTOCOLE"/>
    <w:basedOn w:val="Normal"/>
    <w:autoRedefine/>
    <w:qFormat/>
    <w:rsid w:val="00653179"/>
    <w:pPr>
      <w:autoSpaceDE w:val="0"/>
      <w:autoSpaceDN w:val="0"/>
      <w:adjustRightInd w:val="0"/>
      <w:spacing w:after="120" w:line="480" w:lineRule="auto"/>
      <w:jc w:val="both"/>
    </w:pPr>
    <w:rPr>
      <w:rFonts w:ascii="Arial" w:eastAsia="Arial Unicode MS" w:hAnsi="Arial" w:cs="Arial"/>
      <w:sz w:val="20"/>
      <w:szCs w:val="20"/>
      <w:lang w:val="en-US"/>
    </w:rPr>
  </w:style>
  <w:style w:type="paragraph" w:customStyle="1" w:styleId="Bullet1">
    <w:name w:val="Bullet 1"/>
    <w:basedOn w:val="ListParagraph"/>
    <w:autoRedefine/>
    <w:qFormat/>
    <w:rsid w:val="00653179"/>
    <w:pPr>
      <w:framePr w:hSpace="141" w:wrap="around" w:vAnchor="page" w:hAnchor="margin" w:xAlign="center" w:y="1941"/>
      <w:numPr>
        <w:numId w:val="1"/>
      </w:numPr>
      <w:pBdr>
        <w:top w:val="none" w:sz="4" w:space="0" w:color="000000"/>
        <w:left w:val="none" w:sz="4" w:space="0" w:color="000000"/>
        <w:bottom w:val="none" w:sz="4" w:space="0" w:color="000000"/>
        <w:right w:val="none" w:sz="4" w:space="0" w:color="000000"/>
        <w:between w:val="none" w:sz="4" w:space="0" w:color="000000"/>
      </w:pBdr>
      <w:tabs>
        <w:tab w:val="left" w:pos="284"/>
        <w:tab w:val="num" w:pos="360"/>
      </w:tabs>
      <w:spacing w:after="40" w:line="240" w:lineRule="auto"/>
      <w:ind w:left="284" w:hanging="284"/>
      <w:contextualSpacing w:val="0"/>
    </w:pPr>
    <w:rPr>
      <w:rFonts w:ascii="Arial" w:eastAsia="Arial Unicode MS" w:hAnsi="Arial" w:cs="Arial"/>
      <w:sz w:val="20"/>
      <w:szCs w:val="20"/>
      <w:shd w:val="clear" w:color="auto" w:fill="FFFFFF"/>
      <w:lang w:val="en-US" w:eastAsia="fr-FR"/>
    </w:rPr>
  </w:style>
  <w:style w:type="paragraph" w:styleId="ListParagraph">
    <w:name w:val="List Paragraph"/>
    <w:basedOn w:val="Normal"/>
    <w:uiPriority w:val="34"/>
    <w:qFormat/>
    <w:rsid w:val="00653179"/>
    <w:pPr>
      <w:ind w:left="720"/>
      <w:contextualSpacing/>
    </w:pPr>
  </w:style>
  <w:style w:type="character" w:styleId="LineNumber">
    <w:name w:val="line number"/>
    <w:basedOn w:val="DefaultParagraphFont"/>
    <w:uiPriority w:val="99"/>
    <w:semiHidden/>
    <w:unhideWhenUsed/>
    <w:rsid w:val="006531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1579</Words>
  <Characters>9004</Characters>
  <Application>Microsoft Office Word</Application>
  <DocSecurity>0</DocSecurity>
  <Lines>75</Lines>
  <Paragraphs>21</Paragraphs>
  <ScaleCrop>false</ScaleCrop>
  <Company>Springer Nature IT</Company>
  <LinksUpToDate>false</LinksUpToDate>
  <CharactersWithSpaces>10562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2022-09-06T07:02:00Z</dcterms:created>
  <dcterms:modified xsi:type="dcterms:W3CDTF">2022-09-06T07:03:00Z</dcterms:modified>
</cp:coreProperties>
</file>