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E5A1FB" w14:textId="77777777" w:rsidR="00154E7C" w:rsidRDefault="00000000">
      <w:pPr>
        <w:spacing w:line="480" w:lineRule="auto"/>
        <w:ind w:left="720" w:hanging="720"/>
        <w:jc w:val="center"/>
        <w:rPr>
          <w:rFonts w:ascii="Times New Roman" w:eastAsia="等线" w:hAnsi="Times New Roman" w:cs="Times New Roman"/>
          <w:b/>
          <w:sz w:val="28"/>
          <w:szCs w:val="28"/>
        </w:rPr>
      </w:pPr>
      <w:r>
        <w:rPr>
          <w:rFonts w:ascii="Times New Roman" w:eastAsia="等线" w:hAnsi="Times New Roman" w:cs="Times New Roman"/>
          <w:b/>
          <w:sz w:val="28"/>
          <w:szCs w:val="28"/>
        </w:rPr>
        <w:t>Supporting Information</w:t>
      </w:r>
    </w:p>
    <w:p w14:paraId="658410DE" w14:textId="77777777" w:rsidR="00154E7C" w:rsidRDefault="00154E7C">
      <w:pPr>
        <w:spacing w:line="480" w:lineRule="auto"/>
        <w:ind w:left="720" w:hanging="720"/>
        <w:rPr>
          <w:rFonts w:ascii="Times New Roman" w:eastAsia="等线" w:hAnsi="Times New Roman" w:cs="Times New Roman"/>
          <w:b/>
          <w:sz w:val="28"/>
          <w:szCs w:val="28"/>
        </w:rPr>
      </w:pPr>
    </w:p>
    <w:p w14:paraId="10B38CF9" w14:textId="72F8C60B" w:rsidR="00154E7C" w:rsidRPr="00CD008B" w:rsidRDefault="00000000">
      <w:pPr>
        <w:spacing w:line="480" w:lineRule="auto"/>
        <w:rPr>
          <w:rFonts w:ascii="Times New Roman" w:hAnsi="Times New Roman" w:cs="Times New Roman" w:hint="eastAsia"/>
          <w:b/>
          <w:bCs/>
          <w:color w:val="000000"/>
          <w:sz w:val="24"/>
          <w:shd w:val="clear" w:color="auto" w:fill="FFFFFF"/>
        </w:rPr>
      </w:pPr>
      <w:r>
        <w:rPr>
          <w:rFonts w:ascii="Times New Roman" w:eastAsia="宋体" w:hAnsi="Times New Roman" w:cs="Times New Roman"/>
          <w:b/>
          <w:bCs/>
          <w:color w:val="000000"/>
          <w:sz w:val="24"/>
          <w:shd w:val="clear" w:color="auto" w:fill="FFFFFF"/>
        </w:rPr>
        <w:t>Materials and methods</w:t>
      </w:r>
    </w:p>
    <w:p w14:paraId="5333E900" w14:textId="77777777" w:rsidR="00154E7C" w:rsidRDefault="00000000">
      <w:pPr>
        <w:spacing w:line="480" w:lineRule="auto"/>
        <w:rPr>
          <w:rFonts w:ascii="Arial" w:eastAsia="Times New Roman" w:hAnsi="Arial" w:cs="Arial"/>
          <w:b/>
          <w:bCs/>
          <w:color w:val="000000" w:themeColor="text1"/>
          <w:sz w:val="24"/>
          <w:u w:val="single"/>
        </w:rPr>
      </w:pPr>
      <w:r>
        <w:rPr>
          <w:rFonts w:ascii="Times New Roman" w:eastAsia="Times New Roman" w:hAnsi="Times New Roman" w:cs="Times New Roman"/>
          <w:b/>
          <w:color w:val="000000" w:themeColor="text1"/>
          <w:sz w:val="24"/>
        </w:rPr>
        <w:t>Cell culture</w:t>
      </w:r>
    </w:p>
    <w:p w14:paraId="097E75DA" w14:textId="77777777" w:rsidR="00154E7C" w:rsidRDefault="00000000">
      <w:pPr>
        <w:spacing w:line="480" w:lineRule="auto"/>
        <w:ind w:firstLineChars="200" w:firstLine="48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Human colorectal adenocarcinoma cells HCT116</w:t>
      </w:r>
      <w:r>
        <w:rPr>
          <w:rFonts w:ascii="Times New Roman" w:eastAsia="Times New Roman" w:hAnsi="Times New Roman" w:cs="Times New Roman" w:hint="eastAsia"/>
          <w:color w:val="000000"/>
          <w:sz w:val="24"/>
        </w:rPr>
        <w:t>,</w:t>
      </w:r>
      <w:r>
        <w:rPr>
          <w:rFonts w:ascii="Times New Roman" w:eastAsia="Times New Roman" w:hAnsi="Times New Roman" w:cs="Times New Roman"/>
          <w:color w:val="000000"/>
          <w:sz w:val="24"/>
        </w:rPr>
        <w:t xml:space="preserve"> purchased from American Type Culture Collection, were cultured in 1640 medium containing 10% fetal bovine serum, 100 units/mL penicillin, and 100 mg/mL streptomycin, and the medium was changed every 2 days. Oxaliplatin-resistant human colorectal cancer cells HCT116/DR, purchased from Shanghai </w:t>
      </w:r>
      <w:proofErr w:type="spellStart"/>
      <w:r>
        <w:rPr>
          <w:rFonts w:ascii="Times New Roman" w:eastAsia="Times New Roman" w:hAnsi="Times New Roman" w:cs="Times New Roman"/>
          <w:color w:val="000000"/>
          <w:sz w:val="24"/>
        </w:rPr>
        <w:t>Meixuan</w:t>
      </w:r>
      <w:proofErr w:type="spellEnd"/>
      <w:r>
        <w:rPr>
          <w:rFonts w:ascii="Times New Roman" w:eastAsia="Times New Roman" w:hAnsi="Times New Roman" w:cs="Times New Roman"/>
          <w:color w:val="000000"/>
          <w:sz w:val="24"/>
        </w:rPr>
        <w:t xml:space="preserve"> Biotechnology Co., Ltd., was generated in a stepwise manner by exposing drug-sensitive HCT116 cells to increasing doses of OX. The surviving cells were subsequently maintained in the conditioned medium with 1 </w:t>
      </w:r>
      <w:proofErr w:type="spellStart"/>
      <w:r>
        <w:rPr>
          <w:rFonts w:ascii="Times New Roman" w:eastAsia="Times New Roman" w:hAnsi="Times New Roman" w:cs="Times New Roman"/>
          <w:color w:val="000000"/>
          <w:sz w:val="24"/>
        </w:rPr>
        <w:t>μg</w:t>
      </w:r>
      <w:proofErr w:type="spellEnd"/>
      <w:r>
        <w:rPr>
          <w:rFonts w:ascii="Times New Roman" w:eastAsia="Times New Roman" w:hAnsi="Times New Roman" w:cs="Times New Roman"/>
          <w:color w:val="000000"/>
          <w:sz w:val="24"/>
        </w:rPr>
        <w:t>/mL OX to retain its drug-resistant phenotype.</w:t>
      </w:r>
    </w:p>
    <w:p w14:paraId="537BDF4C" w14:textId="77777777" w:rsidR="00154E7C" w:rsidRDefault="00154E7C">
      <w:pPr>
        <w:spacing w:line="480" w:lineRule="auto"/>
        <w:rPr>
          <w:rFonts w:ascii="Times New Roman" w:hAnsi="Times New Roman" w:cs="Times New Roman"/>
          <w:color w:val="000000"/>
          <w:szCs w:val="21"/>
        </w:rPr>
      </w:pPr>
    </w:p>
    <w:p w14:paraId="52323BCD" w14:textId="77777777" w:rsidR="00154E7C" w:rsidRDefault="00000000">
      <w:pPr>
        <w:spacing w:line="480" w:lineRule="auto"/>
        <w:rPr>
          <w:rFonts w:ascii="等线" w:eastAsia="等线" w:hAnsi="等线" w:cs="Times New Roman"/>
          <w:sz w:val="24"/>
        </w:rPr>
      </w:pPr>
      <w:r>
        <w:rPr>
          <w:rFonts w:ascii="Times New Roman" w:eastAsia="Times New Roman" w:hAnsi="Times New Roman" w:cs="Times New Roman"/>
          <w:b/>
          <w:sz w:val="24"/>
        </w:rPr>
        <w:t>Cell Viability Assay</w:t>
      </w:r>
    </w:p>
    <w:p w14:paraId="6C2D1577" w14:textId="77777777" w:rsidR="00154E7C" w:rsidRDefault="00000000">
      <w:pPr>
        <w:spacing w:line="480" w:lineRule="auto"/>
        <w:ind w:firstLineChars="200" w:firstLine="480"/>
        <w:rPr>
          <w:rFonts w:ascii="Times New Roman" w:eastAsia="Times New Roman" w:hAnsi="Times New Roman" w:cs="Times New Roman"/>
          <w:sz w:val="24"/>
        </w:rPr>
      </w:pPr>
      <w:r>
        <w:rPr>
          <w:rFonts w:ascii="Times New Roman" w:eastAsia="Times New Roman" w:hAnsi="Times New Roman" w:cs="Times New Roman"/>
          <w:sz w:val="24"/>
        </w:rPr>
        <w:t>HCT116 cells or OX resistant HCT116/DR (HCT116/DR)</w:t>
      </w:r>
      <w:r>
        <w:rPr>
          <w:rFonts w:ascii="Times New Roman" w:eastAsia="Times New Roman" w:hAnsi="Times New Roman" w:cs="Times New Roman" w:hint="eastAsia"/>
          <w:sz w:val="24"/>
        </w:rPr>
        <w:t xml:space="preserve"> cells</w:t>
      </w:r>
      <w:r>
        <w:rPr>
          <w:rFonts w:ascii="Times New Roman" w:eastAsia="Times New Roman" w:hAnsi="Times New Roman" w:cs="Times New Roman"/>
          <w:sz w:val="24"/>
        </w:rPr>
        <w:t xml:space="preserve"> were seeded at a density of 8 × 10</w:t>
      </w:r>
      <w:r>
        <w:rPr>
          <w:rFonts w:ascii="Times New Roman" w:eastAsia="Times New Roman" w:hAnsi="Times New Roman" w:cs="Times New Roman"/>
          <w:sz w:val="24"/>
          <w:vertAlign w:val="superscript"/>
        </w:rPr>
        <w:t>3</w:t>
      </w:r>
      <w:r>
        <w:rPr>
          <w:rFonts w:ascii="Times New Roman" w:eastAsia="Times New Roman" w:hAnsi="Times New Roman" w:cs="Times New Roman"/>
          <w:sz w:val="24"/>
        </w:rPr>
        <w:t xml:space="preserve"> cells/well in 96-well plates and cultured for 24 h. OX, S</w:t>
      </w:r>
      <w:r>
        <w:rPr>
          <w:rFonts w:ascii="Times New Roman" w:eastAsia="Times New Roman" w:hAnsi="Times New Roman" w:cs="Times New Roman" w:hint="eastAsia"/>
          <w:sz w:val="24"/>
        </w:rPr>
        <w:t>e</w:t>
      </w:r>
      <w:r>
        <w:rPr>
          <w:rFonts w:ascii="Times New Roman" w:eastAsia="Times New Roman" w:hAnsi="Times New Roman" w:cs="Times New Roman"/>
          <w:sz w:val="24"/>
        </w:rPr>
        <w:t>-</w:t>
      </w:r>
      <w:proofErr w:type="spellStart"/>
      <w:r>
        <w:rPr>
          <w:rFonts w:ascii="Times New Roman" w:eastAsia="Times New Roman" w:hAnsi="Times New Roman" w:cs="Times New Roman"/>
          <w:sz w:val="24"/>
        </w:rPr>
        <w:t>MnP</w:t>
      </w:r>
      <w:proofErr w:type="spellEnd"/>
      <w:r>
        <w:rPr>
          <w:rFonts w:ascii="Times New Roman" w:eastAsia="Times New Roman" w:hAnsi="Times New Roman" w:cs="Times New Roman"/>
          <w:sz w:val="24"/>
        </w:rPr>
        <w:t xml:space="preserve">, </w:t>
      </w:r>
      <w:r>
        <w:rPr>
          <w:rFonts w:ascii="Times New Roman" w:eastAsia="Times New Roman" w:hAnsi="Times New Roman" w:cs="Times New Roman" w:hint="eastAsia"/>
          <w:sz w:val="24"/>
        </w:rPr>
        <w:t>and</w:t>
      </w:r>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OX@Se-MnP</w:t>
      </w:r>
      <w:proofErr w:type="spellEnd"/>
      <w:r>
        <w:rPr>
          <w:rFonts w:ascii="Times New Roman" w:eastAsia="Times New Roman" w:hAnsi="Times New Roman" w:cs="Times New Roman"/>
          <w:sz w:val="24"/>
        </w:rPr>
        <w:t xml:space="preserve"> NPs were added to each well and incubated for 24 and 48 h. Oxaliplatin was used as a positive control, and a pure medium without adding any compounds was designed as a blank control. Cell viability was performed by CCK-8 reagent kit, and the optical density value was measured by a microplate reader (Eon, </w:t>
      </w:r>
      <w:proofErr w:type="spellStart"/>
      <w:r>
        <w:rPr>
          <w:rFonts w:ascii="Times New Roman" w:eastAsia="Times New Roman" w:hAnsi="Times New Roman" w:cs="Times New Roman"/>
          <w:sz w:val="24"/>
        </w:rPr>
        <w:t>BioTek</w:t>
      </w:r>
      <w:proofErr w:type="spellEnd"/>
      <w:r>
        <w:rPr>
          <w:rFonts w:ascii="Times New Roman" w:eastAsia="Times New Roman" w:hAnsi="Times New Roman" w:cs="Times New Roman"/>
          <w:sz w:val="24"/>
        </w:rPr>
        <w:t>, U.S.A.) at a wavelength of 450 nm.</w:t>
      </w:r>
    </w:p>
    <w:p w14:paraId="189D68F3" w14:textId="77777777" w:rsidR="00154E7C" w:rsidRDefault="00154E7C">
      <w:pPr>
        <w:spacing w:line="480" w:lineRule="auto"/>
        <w:rPr>
          <w:rFonts w:ascii="Times New Roman" w:eastAsia="Times New Roman" w:hAnsi="Times New Roman" w:cs="Times New Roman"/>
          <w:b/>
          <w:sz w:val="24"/>
        </w:rPr>
      </w:pPr>
    </w:p>
    <w:p w14:paraId="69CFE959" w14:textId="77777777" w:rsidR="00154E7C" w:rsidRDefault="00000000">
      <w:pPr>
        <w:spacing w:line="480" w:lineRule="auto"/>
        <w:rPr>
          <w:rFonts w:ascii="Times New Roman" w:eastAsia="等线" w:hAnsi="Times New Roman" w:cs="Times New Roman"/>
          <w:sz w:val="24"/>
        </w:rPr>
      </w:pPr>
      <w:r>
        <w:rPr>
          <w:rFonts w:ascii="Times New Roman" w:eastAsia="Times New Roman" w:hAnsi="Times New Roman" w:cs="Times New Roman"/>
          <w:b/>
          <w:sz w:val="24"/>
        </w:rPr>
        <w:lastRenderedPageBreak/>
        <w:t>ROS Generation</w:t>
      </w:r>
    </w:p>
    <w:p w14:paraId="6837E893" w14:textId="77777777" w:rsidR="00154E7C" w:rsidRDefault="00000000">
      <w:pPr>
        <w:spacing w:line="480" w:lineRule="auto"/>
        <w:ind w:firstLineChars="200" w:firstLine="480"/>
        <w:rPr>
          <w:rFonts w:ascii="Times New Roman" w:eastAsia="Times New Roman" w:hAnsi="Times New Roman" w:cs="Times New Roman"/>
          <w:sz w:val="24"/>
        </w:rPr>
      </w:pPr>
      <w:r>
        <w:rPr>
          <w:rFonts w:ascii="Times New Roman" w:eastAsia="Times New Roman" w:hAnsi="Times New Roman" w:cs="Times New Roman"/>
          <w:sz w:val="24"/>
        </w:rPr>
        <w:t xml:space="preserve">ROS generation was measured by intracellular conversion of </w:t>
      </w:r>
      <w:proofErr w:type="spellStart"/>
      <w:r>
        <w:rPr>
          <w:rFonts w:ascii="Times New Roman" w:eastAsia="Times New Roman" w:hAnsi="Times New Roman" w:cs="Times New Roman"/>
          <w:sz w:val="24"/>
        </w:rPr>
        <w:t>dichloroﬂuorescein</w:t>
      </w:r>
      <w:proofErr w:type="spellEnd"/>
      <w:r>
        <w:rPr>
          <w:rFonts w:ascii="Times New Roman" w:eastAsia="Times New Roman" w:hAnsi="Times New Roman" w:cs="Times New Roman"/>
          <w:sz w:val="24"/>
        </w:rPr>
        <w:t xml:space="preserve"> diacetate (DCFH/DA) into a ﬂuorescent product DCF. HCT116/DR cells were plated in 6-well plates at a 1 × 10</w:t>
      </w:r>
      <w:r>
        <w:rPr>
          <w:rFonts w:ascii="Times New Roman" w:eastAsia="Times New Roman" w:hAnsi="Times New Roman" w:cs="Times New Roman"/>
          <w:sz w:val="24"/>
          <w:vertAlign w:val="superscript"/>
        </w:rPr>
        <w:t>6</w:t>
      </w:r>
      <w:r>
        <w:rPr>
          <w:rFonts w:ascii="Times New Roman" w:eastAsia="Times New Roman" w:hAnsi="Times New Roman" w:cs="Times New Roman"/>
          <w:sz w:val="24"/>
        </w:rPr>
        <w:t xml:space="preserve"> cells/well density. After culturing for 24 h, the cells were separately incubated of OX (20 </w:t>
      </w:r>
      <w:proofErr w:type="spellStart"/>
      <w:r>
        <w:rPr>
          <w:rFonts w:ascii="Times New Roman" w:eastAsia="Times New Roman" w:hAnsi="Times New Roman" w:cs="Times New Roman"/>
          <w:sz w:val="24"/>
        </w:rPr>
        <w:t>μg</w:t>
      </w:r>
      <w:proofErr w:type="spellEnd"/>
      <w:r>
        <w:rPr>
          <w:rFonts w:ascii="Times New Roman" w:eastAsia="Times New Roman" w:hAnsi="Times New Roman" w:cs="Times New Roman"/>
          <w:sz w:val="24"/>
        </w:rPr>
        <w:t>/mL), Se-</w:t>
      </w:r>
      <w:proofErr w:type="spellStart"/>
      <w:r>
        <w:rPr>
          <w:rFonts w:ascii="Times New Roman" w:eastAsia="Times New Roman" w:hAnsi="Times New Roman" w:cs="Times New Roman"/>
          <w:sz w:val="24"/>
        </w:rPr>
        <w:t>MnP</w:t>
      </w:r>
      <w:proofErr w:type="spellEnd"/>
      <w:r>
        <w:rPr>
          <w:rFonts w:ascii="Times New Roman" w:eastAsia="Times New Roman" w:hAnsi="Times New Roman" w:cs="Times New Roman"/>
          <w:sz w:val="24"/>
        </w:rPr>
        <w:t xml:space="preserve"> (100 </w:t>
      </w:r>
      <w:proofErr w:type="spellStart"/>
      <w:r>
        <w:rPr>
          <w:rFonts w:ascii="Times New Roman" w:eastAsia="Times New Roman" w:hAnsi="Times New Roman" w:cs="Times New Roman"/>
          <w:sz w:val="24"/>
        </w:rPr>
        <w:t>μg</w:t>
      </w:r>
      <w:proofErr w:type="spellEnd"/>
      <w:r>
        <w:rPr>
          <w:rFonts w:ascii="Times New Roman" w:eastAsia="Times New Roman" w:hAnsi="Times New Roman" w:cs="Times New Roman"/>
          <w:sz w:val="24"/>
        </w:rPr>
        <w:t xml:space="preserve">/mL), </w:t>
      </w:r>
      <w:proofErr w:type="spellStart"/>
      <w:r>
        <w:rPr>
          <w:rFonts w:ascii="Times New Roman" w:eastAsia="Times New Roman" w:hAnsi="Times New Roman" w:cs="Times New Roman"/>
          <w:sz w:val="24"/>
        </w:rPr>
        <w:t>OX@Se-MnP</w:t>
      </w:r>
      <w:proofErr w:type="spellEnd"/>
      <w:r>
        <w:rPr>
          <w:rFonts w:ascii="Times New Roman" w:eastAsia="Times New Roman" w:hAnsi="Times New Roman" w:cs="Times New Roman"/>
          <w:sz w:val="24"/>
        </w:rPr>
        <w:t xml:space="preserve"> (120 </w:t>
      </w:r>
      <w:proofErr w:type="spellStart"/>
      <w:r>
        <w:rPr>
          <w:rFonts w:ascii="Times New Roman" w:eastAsia="Times New Roman" w:hAnsi="Times New Roman" w:cs="Times New Roman"/>
          <w:sz w:val="24"/>
        </w:rPr>
        <w:t>μg</w:t>
      </w:r>
      <w:proofErr w:type="spellEnd"/>
      <w:r>
        <w:rPr>
          <w:rFonts w:ascii="Times New Roman" w:eastAsia="Times New Roman" w:hAnsi="Times New Roman" w:cs="Times New Roman"/>
          <w:sz w:val="24"/>
        </w:rPr>
        <w:t xml:space="preserve">/mL) for 12 h. After that, DCFH/DA (1 </w:t>
      </w:r>
      <w:proofErr w:type="spellStart"/>
      <w:r>
        <w:rPr>
          <w:rFonts w:ascii="Times New Roman" w:eastAsia="Times New Roman" w:hAnsi="Times New Roman" w:cs="Times New Roman"/>
          <w:sz w:val="24"/>
        </w:rPr>
        <w:t>μM</w:t>
      </w:r>
      <w:proofErr w:type="spellEnd"/>
      <w:r>
        <w:rPr>
          <w:rFonts w:ascii="Times New Roman" w:eastAsia="Times New Roman" w:hAnsi="Times New Roman" w:cs="Times New Roman"/>
          <w:sz w:val="24"/>
        </w:rPr>
        <w:t>) (</w:t>
      </w:r>
      <w:proofErr w:type="spellStart"/>
      <w:r>
        <w:rPr>
          <w:rFonts w:ascii="Times New Roman" w:eastAsia="Times New Roman" w:hAnsi="Times New Roman" w:cs="Times New Roman"/>
          <w:sz w:val="24"/>
        </w:rPr>
        <w:t>Beyotime</w:t>
      </w:r>
      <w:proofErr w:type="spellEnd"/>
      <w:r>
        <w:rPr>
          <w:rFonts w:ascii="Times New Roman" w:eastAsia="Times New Roman" w:hAnsi="Times New Roman" w:cs="Times New Roman"/>
          <w:sz w:val="24"/>
        </w:rPr>
        <w:t>, China) was added to each well and incubated at 37 °C for 30 min before the cells were detached. The cells were subsequently collected by centrifugation, washed twice with PBS, and resuspended in PBS. Then, the generation of ROS in cells of different groups was observed under a Laser Scanning Confocal Microscopy (LSCM, FluoViewFV1000, Olympus, Japan).</w:t>
      </w:r>
    </w:p>
    <w:p w14:paraId="43E24929" w14:textId="77777777" w:rsidR="00154E7C" w:rsidRDefault="00154E7C">
      <w:pPr>
        <w:spacing w:line="480" w:lineRule="auto"/>
        <w:rPr>
          <w:rFonts w:ascii="Times New Roman" w:eastAsia="Times New Roman" w:hAnsi="Times New Roman" w:cs="Times New Roman"/>
          <w:b/>
          <w:sz w:val="24"/>
        </w:rPr>
      </w:pPr>
    </w:p>
    <w:p w14:paraId="5B1D8A1A" w14:textId="77777777" w:rsidR="00154E7C" w:rsidRDefault="00000000">
      <w:pPr>
        <w:spacing w:line="48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Cellular Uptake </w:t>
      </w:r>
    </w:p>
    <w:p w14:paraId="1747E9FB" w14:textId="77777777" w:rsidR="00154E7C" w:rsidRDefault="00000000">
      <w:pPr>
        <w:spacing w:line="480" w:lineRule="auto"/>
        <w:ind w:firstLineChars="200" w:firstLine="480"/>
        <w:rPr>
          <w:rFonts w:ascii="Times New Roman" w:eastAsia="Times New Roman" w:hAnsi="Times New Roman" w:cs="Times New Roman"/>
          <w:kern w:val="0"/>
          <w:sz w:val="24"/>
        </w:rPr>
      </w:pPr>
      <w:r>
        <w:rPr>
          <w:rFonts w:ascii="Times New Roman" w:eastAsia="Times New Roman" w:hAnsi="Times New Roman" w:cs="Times New Roman"/>
          <w:sz w:val="24"/>
        </w:rPr>
        <w:t xml:space="preserve">For laser confocal scanning microscopy (LCSM) analysis, HCT116/DR cells were seeded on sterile glass coverslips in 6-well plates at a density of </w:t>
      </w:r>
      <w:r>
        <w:rPr>
          <w:rFonts w:ascii="Times New Roman" w:eastAsia="宋体" w:hAnsi="Times New Roman" w:cs="Times New Roman" w:hint="eastAsia"/>
          <w:sz w:val="24"/>
        </w:rPr>
        <w:t>1</w:t>
      </w:r>
      <w:r>
        <w:rPr>
          <w:rFonts w:ascii="Times New Roman" w:eastAsia="Times New Roman" w:hAnsi="Times New Roman" w:cs="Times New Roman"/>
          <w:sz w:val="24"/>
        </w:rPr>
        <w:t xml:space="preserve"> × 10</w:t>
      </w:r>
      <w:r>
        <w:rPr>
          <w:rFonts w:ascii="Times New Roman" w:eastAsia="宋体" w:hAnsi="Times New Roman" w:cs="Times New Roman" w:hint="eastAsia"/>
          <w:sz w:val="24"/>
          <w:vertAlign w:val="superscript"/>
        </w:rPr>
        <w:t xml:space="preserve">6 </w:t>
      </w:r>
      <w:r>
        <w:rPr>
          <w:rFonts w:ascii="Times New Roman" w:eastAsia="Times New Roman" w:hAnsi="Times New Roman" w:cs="Times New Roman"/>
          <w:sz w:val="24"/>
        </w:rPr>
        <w:t>cells/well and allowed to attach for 24 h. To each well, free OX, Se-</w:t>
      </w:r>
      <w:proofErr w:type="spellStart"/>
      <w:r>
        <w:rPr>
          <w:rFonts w:ascii="Times New Roman" w:eastAsia="Times New Roman" w:hAnsi="Times New Roman" w:cs="Times New Roman"/>
          <w:sz w:val="24"/>
        </w:rPr>
        <w:t>MnP</w:t>
      </w:r>
      <w:proofErr w:type="spellEnd"/>
      <w:r>
        <w:rPr>
          <w:rFonts w:ascii="Times New Roman" w:eastAsia="Times New Roman" w:hAnsi="Times New Roman" w:cs="Times New Roman"/>
          <w:sz w:val="24"/>
        </w:rPr>
        <w:t xml:space="preserve">, and </w:t>
      </w:r>
      <w:proofErr w:type="spellStart"/>
      <w:r>
        <w:rPr>
          <w:rFonts w:ascii="Times New Roman" w:eastAsia="Times New Roman" w:hAnsi="Times New Roman" w:cs="Times New Roman"/>
          <w:sz w:val="24"/>
        </w:rPr>
        <w:t>OX@Se-MnP</w:t>
      </w:r>
      <w:proofErr w:type="spellEnd"/>
      <w:r>
        <w:rPr>
          <w:rFonts w:ascii="Times New Roman" w:eastAsia="Times New Roman" w:hAnsi="Times New Roman" w:cs="Times New Roman"/>
          <w:sz w:val="24"/>
        </w:rPr>
        <w:t xml:space="preserve"> were respectively added and incubated for 2, 4, 8 and 10</w:t>
      </w:r>
      <w:r>
        <w:rPr>
          <w:rFonts w:ascii="Times New Roman" w:eastAsia="宋体" w:hAnsi="Times New Roman" w:cs="Times New Roman" w:hint="eastAsia"/>
          <w:sz w:val="24"/>
        </w:rPr>
        <w:t xml:space="preserve"> </w:t>
      </w:r>
      <w:r>
        <w:rPr>
          <w:rFonts w:ascii="Times New Roman" w:eastAsia="Times New Roman" w:hAnsi="Times New Roman" w:cs="Times New Roman"/>
          <w:sz w:val="24"/>
        </w:rPr>
        <w:t xml:space="preserve">h. At each time point, the cells were washed with PBS, </w:t>
      </w:r>
      <w:r>
        <w:rPr>
          <w:rFonts w:ascii="Times New Roman" w:eastAsia="MS Mincho" w:hAnsi="Times New Roman" w:cs="Times New Roman"/>
          <w:sz w:val="24"/>
        </w:rPr>
        <w:t>ﬁ</w:t>
      </w:r>
      <w:r>
        <w:rPr>
          <w:rFonts w:ascii="Times New Roman" w:eastAsia="Times New Roman" w:hAnsi="Times New Roman" w:cs="Times New Roman"/>
          <w:sz w:val="24"/>
        </w:rPr>
        <w:t xml:space="preserve">xed with 4% paraformaldehyde for 20 min, and stained with 10 </w:t>
      </w:r>
      <w:proofErr w:type="spellStart"/>
      <w:r>
        <w:rPr>
          <w:rFonts w:ascii="Times New Roman" w:eastAsia="Times New Roman" w:hAnsi="Times New Roman" w:cs="Times New Roman"/>
          <w:sz w:val="24"/>
        </w:rPr>
        <w:t>μg</w:t>
      </w:r>
      <w:proofErr w:type="spellEnd"/>
      <w:r>
        <w:rPr>
          <w:rFonts w:ascii="Times New Roman" w:eastAsia="Times New Roman" w:hAnsi="Times New Roman" w:cs="Times New Roman"/>
          <w:sz w:val="24"/>
        </w:rPr>
        <w:t>/mL DAPI solution. The intracellular location was visualized under a CSLM (FluoViewFV1000, Olympus, Japan).</w:t>
      </w:r>
    </w:p>
    <w:p w14:paraId="3CE7F031" w14:textId="77777777" w:rsidR="00154E7C" w:rsidRDefault="00154E7C">
      <w:pPr>
        <w:spacing w:line="480" w:lineRule="auto"/>
        <w:rPr>
          <w:rFonts w:ascii="Times New Roman" w:eastAsia="Times New Roman" w:hAnsi="Times New Roman" w:cs="Times New Roman"/>
          <w:b/>
          <w:sz w:val="24"/>
        </w:rPr>
      </w:pPr>
    </w:p>
    <w:p w14:paraId="28F64F82" w14:textId="77777777" w:rsidR="00154E7C" w:rsidRDefault="00000000">
      <w:pPr>
        <w:spacing w:line="480" w:lineRule="auto"/>
        <w:rPr>
          <w:rFonts w:ascii="Times New Roman" w:eastAsia="Times New Roman" w:hAnsi="Times New Roman" w:cs="Times New Roman"/>
          <w:b/>
          <w:sz w:val="24"/>
        </w:rPr>
      </w:pPr>
      <w:r>
        <w:rPr>
          <w:rFonts w:ascii="Times New Roman" w:eastAsia="Times New Roman" w:hAnsi="Times New Roman" w:cs="Times New Roman"/>
          <w:b/>
          <w:sz w:val="24"/>
        </w:rPr>
        <w:t>Western Blotting</w:t>
      </w:r>
    </w:p>
    <w:p w14:paraId="0C55018D" w14:textId="77777777" w:rsidR="00154E7C" w:rsidRDefault="00000000">
      <w:pPr>
        <w:spacing w:line="480" w:lineRule="auto"/>
        <w:ind w:firstLineChars="200" w:firstLine="480"/>
        <w:rPr>
          <w:rFonts w:ascii="Times New Roman" w:eastAsia="MS Mincho" w:hAnsi="Times New Roman" w:cs="Times New Roman"/>
          <w:kern w:val="0"/>
          <w:sz w:val="24"/>
        </w:rPr>
      </w:pPr>
      <w:r>
        <w:rPr>
          <w:rFonts w:ascii="Times New Roman" w:eastAsia="Times New Roman" w:hAnsi="Times New Roman" w:cs="Times New Roman"/>
          <w:sz w:val="24"/>
        </w:rPr>
        <w:t xml:space="preserve">HCT116/DR cells were separately treated with OX of 20 </w:t>
      </w:r>
      <w:proofErr w:type="spellStart"/>
      <w:r>
        <w:rPr>
          <w:rFonts w:ascii="Times New Roman" w:eastAsia="Times New Roman" w:hAnsi="Times New Roman" w:cs="Times New Roman"/>
          <w:sz w:val="24"/>
        </w:rPr>
        <w:t>μg</w:t>
      </w:r>
      <w:proofErr w:type="spellEnd"/>
      <w:r>
        <w:rPr>
          <w:rFonts w:ascii="Times New Roman" w:eastAsia="Times New Roman" w:hAnsi="Times New Roman" w:cs="Times New Roman"/>
          <w:sz w:val="24"/>
        </w:rPr>
        <w:t>/</w:t>
      </w:r>
      <w:r>
        <w:rPr>
          <w:rFonts w:ascii="Times New Roman" w:hAnsi="Times New Roman" w:cs="Times New Roman"/>
          <w:sz w:val="24"/>
        </w:rPr>
        <w:t>mL</w:t>
      </w:r>
      <w:r>
        <w:rPr>
          <w:rFonts w:ascii="Times New Roman" w:eastAsia="Times New Roman" w:hAnsi="Times New Roman" w:cs="Times New Roman"/>
          <w:sz w:val="24"/>
        </w:rPr>
        <w:t>, Se-</w:t>
      </w:r>
      <w:proofErr w:type="spellStart"/>
      <w:r>
        <w:rPr>
          <w:rFonts w:ascii="Times New Roman" w:eastAsia="Times New Roman" w:hAnsi="Times New Roman" w:cs="Times New Roman"/>
          <w:sz w:val="24"/>
        </w:rPr>
        <w:t>MnP</w:t>
      </w:r>
      <w:proofErr w:type="spellEnd"/>
      <w:r>
        <w:rPr>
          <w:rFonts w:ascii="Times New Roman" w:eastAsia="Times New Roman" w:hAnsi="Times New Roman" w:cs="Times New Roman"/>
          <w:sz w:val="24"/>
        </w:rPr>
        <w:t xml:space="preserve"> of 100 </w:t>
      </w:r>
      <w:proofErr w:type="spellStart"/>
      <w:r>
        <w:rPr>
          <w:rFonts w:ascii="Times New Roman" w:eastAsia="Times New Roman" w:hAnsi="Times New Roman" w:cs="Times New Roman"/>
          <w:sz w:val="24"/>
        </w:rPr>
        <w:lastRenderedPageBreak/>
        <w:t>μg</w:t>
      </w:r>
      <w:proofErr w:type="spellEnd"/>
      <w:r>
        <w:rPr>
          <w:rFonts w:ascii="Times New Roman" w:eastAsia="Times New Roman" w:hAnsi="Times New Roman" w:cs="Times New Roman"/>
          <w:sz w:val="24"/>
        </w:rPr>
        <w:t xml:space="preserve">/mL, and </w:t>
      </w:r>
      <w:proofErr w:type="spellStart"/>
      <w:r>
        <w:rPr>
          <w:rFonts w:ascii="Times New Roman" w:eastAsia="Times New Roman" w:hAnsi="Times New Roman" w:cs="Times New Roman"/>
          <w:sz w:val="24"/>
        </w:rPr>
        <w:t>OX@Se-MnP</w:t>
      </w:r>
      <w:proofErr w:type="spellEnd"/>
      <w:r>
        <w:rPr>
          <w:rFonts w:ascii="Times New Roman" w:eastAsia="Times New Roman" w:hAnsi="Times New Roman" w:cs="Times New Roman"/>
          <w:sz w:val="24"/>
        </w:rPr>
        <w:t xml:space="preserve"> of 120 </w:t>
      </w:r>
      <w:proofErr w:type="spellStart"/>
      <w:r>
        <w:rPr>
          <w:rFonts w:ascii="Times New Roman" w:eastAsia="Times New Roman" w:hAnsi="Times New Roman" w:cs="Times New Roman"/>
          <w:sz w:val="24"/>
        </w:rPr>
        <w:t>μg</w:t>
      </w:r>
      <w:proofErr w:type="spellEnd"/>
      <w:r>
        <w:rPr>
          <w:rFonts w:ascii="Times New Roman" w:eastAsia="Times New Roman" w:hAnsi="Times New Roman" w:cs="Times New Roman"/>
          <w:sz w:val="24"/>
        </w:rPr>
        <w:t xml:space="preserve">/mL to analyze apoptotic proteins at 24 h. </w:t>
      </w:r>
      <w:r>
        <w:rPr>
          <w:rFonts w:ascii="Times New Roman" w:eastAsia="宋体" w:hAnsi="Times New Roman" w:cs="Times New Roman" w:hint="eastAsia"/>
          <w:sz w:val="24"/>
        </w:rPr>
        <w:t xml:space="preserve">The </w:t>
      </w:r>
      <w:r>
        <w:rPr>
          <w:rFonts w:ascii="Times New Roman" w:eastAsia="Times New Roman" w:hAnsi="Times New Roman" w:cs="Times New Roman" w:hint="eastAsia"/>
          <w:sz w:val="24"/>
        </w:rPr>
        <w:t>Cells were lysed for 30 min on ice, centrifuged at 12000 rpm at 4 °C. The supernatant was mixed with loading buffer and the protein concentration was determined by BCA method.</w:t>
      </w:r>
      <w:r>
        <w:rPr>
          <w:rFonts w:ascii="Times New Roman" w:eastAsia="Times New Roman" w:hAnsi="Times New Roman" w:cs="Times New Roman"/>
          <w:sz w:val="24"/>
        </w:rPr>
        <w:t xml:space="preserve"> For each group, 30 </w:t>
      </w:r>
      <w:proofErr w:type="spellStart"/>
      <w:r>
        <w:rPr>
          <w:rFonts w:ascii="Times New Roman" w:eastAsia="Times New Roman" w:hAnsi="Times New Roman" w:cs="Times New Roman"/>
          <w:sz w:val="24"/>
        </w:rPr>
        <w:t>μg</w:t>
      </w:r>
      <w:proofErr w:type="spellEnd"/>
      <w:r>
        <w:rPr>
          <w:rFonts w:ascii="Times New Roman" w:eastAsia="Times New Roman" w:hAnsi="Times New Roman" w:cs="Times New Roman"/>
          <w:sz w:val="24"/>
        </w:rPr>
        <w:t xml:space="preserve"> of protein was loaded to SDS-polyacrylamide gel, separated by electrophoresis at 100 V for 2 h, then transferred to polyvinylidene </w:t>
      </w:r>
      <w:r>
        <w:rPr>
          <w:rFonts w:ascii="Times New Roman" w:eastAsia="MS Mincho" w:hAnsi="Times New Roman" w:cs="Times New Roman"/>
          <w:sz w:val="24"/>
        </w:rPr>
        <w:t>ﬂ</w:t>
      </w:r>
      <w:r>
        <w:rPr>
          <w:rFonts w:ascii="Times New Roman" w:eastAsia="Times New Roman" w:hAnsi="Times New Roman" w:cs="Times New Roman"/>
          <w:sz w:val="24"/>
        </w:rPr>
        <w:t>uoride</w:t>
      </w:r>
      <w:r>
        <w:rPr>
          <w:rFonts w:ascii="Times New Roman" w:eastAsia="宋体" w:hAnsi="Times New Roman" w:cs="Times New Roman" w:hint="eastAsia"/>
          <w:sz w:val="24"/>
        </w:rPr>
        <w:t xml:space="preserve"> (PVDF)</w:t>
      </w:r>
      <w:r>
        <w:rPr>
          <w:rFonts w:ascii="Times New Roman" w:eastAsia="Times New Roman" w:hAnsi="Times New Roman" w:cs="Times New Roman"/>
          <w:sz w:val="24"/>
        </w:rPr>
        <w:t xml:space="preserve"> membranes. After blocking with TBST (0.1% Tween-20, 10% tri-sec-buﬀer saline, 89.9% deionized water) containing 5% nonfat milk, </w:t>
      </w:r>
      <w:r>
        <w:rPr>
          <w:rFonts w:ascii="Times New Roman" w:eastAsia="宋体" w:hAnsi="Times New Roman" w:cs="Times New Roman" w:hint="eastAsia"/>
          <w:sz w:val="24"/>
        </w:rPr>
        <w:t>these</w:t>
      </w:r>
      <w:r>
        <w:rPr>
          <w:rFonts w:ascii="Times New Roman" w:eastAsia="Times New Roman" w:hAnsi="Times New Roman" w:cs="Times New Roman"/>
          <w:sz w:val="24"/>
        </w:rPr>
        <w:t xml:space="preserve"> membranes were incubated with primary antibodies (Cell Signaling) overnight at 4 °C</w:t>
      </w:r>
      <w:r>
        <w:rPr>
          <w:rFonts w:ascii="Times New Roman" w:eastAsia="宋体" w:hAnsi="Times New Roman" w:cs="Times New Roman" w:hint="eastAsia"/>
          <w:sz w:val="24"/>
        </w:rPr>
        <w:t>, then</w:t>
      </w:r>
      <w:r>
        <w:rPr>
          <w:rFonts w:ascii="Times New Roman" w:eastAsia="Times New Roman" w:hAnsi="Times New Roman" w:cs="Times New Roman"/>
          <w:sz w:val="24"/>
        </w:rPr>
        <w:t xml:space="preserve"> incubated with HRP-conjugated secondary antibodies. The immunoreactive blots were observed using the ECL kit (</w:t>
      </w:r>
      <w:proofErr w:type="spellStart"/>
      <w:r>
        <w:rPr>
          <w:rFonts w:ascii="Times New Roman" w:eastAsia="Times New Roman" w:hAnsi="Times New Roman" w:cs="Times New Roman"/>
          <w:sz w:val="24"/>
        </w:rPr>
        <w:t>Thermo</w:t>
      </w:r>
      <w:proofErr w:type="spellEnd"/>
      <w:r>
        <w:rPr>
          <w:rFonts w:ascii="Times New Roman" w:eastAsia="Times New Roman" w:hAnsi="Times New Roman" w:cs="Times New Roman"/>
          <w:sz w:val="24"/>
        </w:rPr>
        <w:t xml:space="preserve"> Scienti</w:t>
      </w:r>
      <w:r>
        <w:rPr>
          <w:rFonts w:ascii="Times New Roman" w:eastAsia="MS Mincho" w:hAnsi="Times New Roman" w:cs="Times New Roman"/>
          <w:sz w:val="24"/>
        </w:rPr>
        <w:t>ﬁ</w:t>
      </w:r>
      <w:r>
        <w:rPr>
          <w:rFonts w:ascii="Times New Roman" w:eastAsia="Times New Roman" w:hAnsi="Times New Roman" w:cs="Times New Roman"/>
          <w:sz w:val="24"/>
        </w:rPr>
        <w:t>c Pierce, U.S.A.) with a chemiluminescence system (Bio-Rad).</w:t>
      </w:r>
    </w:p>
    <w:p w14:paraId="3429311A" w14:textId="77777777" w:rsidR="00154E7C" w:rsidRDefault="00154E7C">
      <w:pPr>
        <w:spacing w:line="480" w:lineRule="auto"/>
        <w:rPr>
          <w:rFonts w:ascii="Times New Roman" w:eastAsia="Times New Roman" w:hAnsi="Times New Roman" w:cs="Times New Roman"/>
          <w:b/>
          <w:sz w:val="24"/>
        </w:rPr>
      </w:pPr>
    </w:p>
    <w:p w14:paraId="2B4D72BC" w14:textId="77777777" w:rsidR="00154E7C" w:rsidRDefault="00000000">
      <w:pPr>
        <w:spacing w:line="480" w:lineRule="auto"/>
        <w:rPr>
          <w:rFonts w:ascii="Times New Roman" w:eastAsia="MS Mincho" w:hAnsi="Times New Roman" w:cs="Times New Roman"/>
          <w:kern w:val="0"/>
          <w:sz w:val="24"/>
        </w:rPr>
      </w:pPr>
      <w:r>
        <w:rPr>
          <w:rFonts w:ascii="Times New Roman" w:eastAsia="Times New Roman" w:hAnsi="Times New Roman" w:cs="Times New Roman"/>
          <w:b/>
          <w:sz w:val="24"/>
        </w:rPr>
        <w:t>Construction of Animal Model</w:t>
      </w:r>
    </w:p>
    <w:p w14:paraId="55376A4A" w14:textId="77777777" w:rsidR="00154E7C" w:rsidRDefault="00000000">
      <w:pPr>
        <w:spacing w:line="480" w:lineRule="auto"/>
        <w:ind w:firstLineChars="200" w:firstLine="480"/>
        <w:rPr>
          <w:rFonts w:ascii="Times New Roman" w:eastAsia="MS Mincho" w:hAnsi="Times New Roman" w:cs="Times New Roman"/>
          <w:kern w:val="0"/>
          <w:sz w:val="24"/>
        </w:rPr>
      </w:pPr>
      <w:r>
        <w:rPr>
          <w:rFonts w:ascii="Times New Roman" w:eastAsia="Times New Roman" w:hAnsi="Times New Roman" w:cs="Times New Roman"/>
          <w:sz w:val="24"/>
        </w:rPr>
        <w:t xml:space="preserve">The </w:t>
      </w:r>
      <w:bookmarkStart w:id="0" w:name="OLE_LINK1"/>
      <w:r>
        <w:rPr>
          <w:rFonts w:ascii="Times New Roman" w:eastAsia="Times New Roman" w:hAnsi="Times New Roman" w:cs="Times New Roman"/>
          <w:sz w:val="24"/>
        </w:rPr>
        <w:t>colorectal cance</w:t>
      </w:r>
      <w:bookmarkEnd w:id="0"/>
      <w:r>
        <w:rPr>
          <w:rFonts w:ascii="Times New Roman" w:eastAsia="Times New Roman" w:hAnsi="Times New Roman" w:cs="Times New Roman"/>
          <w:sz w:val="24"/>
        </w:rPr>
        <w:t>r model was constructed using BALB/c nude mice (4</w:t>
      </w:r>
      <w:r>
        <w:rPr>
          <w:rFonts w:ascii="Times New Roman" w:eastAsia="微软雅黑" w:hAnsi="Times New Roman" w:cs="Times New Roman"/>
          <w:sz w:val="24"/>
        </w:rPr>
        <w:t>−</w:t>
      </w:r>
      <w:r>
        <w:rPr>
          <w:rFonts w:ascii="Times New Roman" w:eastAsia="Times New Roman" w:hAnsi="Times New Roman" w:cs="Times New Roman"/>
          <w:sz w:val="24"/>
        </w:rPr>
        <w:t>6 weeks) to investigate antitumor activities of Se-</w:t>
      </w:r>
      <w:proofErr w:type="spellStart"/>
      <w:r>
        <w:rPr>
          <w:rFonts w:ascii="Times New Roman" w:eastAsia="Times New Roman" w:hAnsi="Times New Roman" w:cs="Times New Roman"/>
          <w:sz w:val="24"/>
        </w:rPr>
        <w:t>M</w:t>
      </w:r>
      <w:r>
        <w:rPr>
          <w:rFonts w:ascii="Times New Roman" w:eastAsia="等线" w:hAnsi="Times New Roman" w:cs="Times New Roman"/>
          <w:sz w:val="24"/>
        </w:rPr>
        <w:t>n</w:t>
      </w:r>
      <w:r>
        <w:rPr>
          <w:rFonts w:ascii="Times New Roman" w:eastAsia="Times New Roman" w:hAnsi="Times New Roman" w:cs="Times New Roman"/>
          <w:sz w:val="24"/>
        </w:rPr>
        <w:t>P</w:t>
      </w:r>
      <w:proofErr w:type="spellEnd"/>
      <w:r>
        <w:rPr>
          <w:rFonts w:ascii="Times New Roman" w:eastAsia="Times New Roman" w:hAnsi="Times New Roman" w:cs="Times New Roman"/>
          <w:sz w:val="24"/>
        </w:rPr>
        <w:t xml:space="preserve"> and </w:t>
      </w:r>
      <w:proofErr w:type="spellStart"/>
      <w:r>
        <w:rPr>
          <w:rFonts w:ascii="Times New Roman" w:eastAsia="Times New Roman" w:hAnsi="Times New Roman" w:cs="Times New Roman"/>
          <w:sz w:val="24"/>
        </w:rPr>
        <w:t>OX@Se-M</w:t>
      </w:r>
      <w:r>
        <w:rPr>
          <w:rFonts w:ascii="Times New Roman" w:eastAsia="等线" w:hAnsi="Times New Roman" w:cs="Times New Roman"/>
          <w:sz w:val="24"/>
        </w:rPr>
        <w:t>n</w:t>
      </w:r>
      <w:r>
        <w:rPr>
          <w:rFonts w:ascii="Times New Roman" w:eastAsia="Times New Roman" w:hAnsi="Times New Roman" w:cs="Times New Roman"/>
          <w:sz w:val="24"/>
        </w:rPr>
        <w:t>P</w:t>
      </w:r>
      <w:proofErr w:type="spellEnd"/>
      <w:r>
        <w:rPr>
          <w:rFonts w:ascii="Times New Roman" w:eastAsia="Times New Roman" w:hAnsi="Times New Roman" w:cs="Times New Roman"/>
          <w:sz w:val="24"/>
        </w:rPr>
        <w:t xml:space="preserve"> in vivo. The animal proposal was approved by the Institutional Animal Care and Use Committee of Shanghai Tenth People’s Hospital. The colorectal </w:t>
      </w:r>
      <w:proofErr w:type="spellStart"/>
      <w:r>
        <w:rPr>
          <w:rFonts w:ascii="Times New Roman" w:eastAsia="Times New Roman" w:hAnsi="Times New Roman" w:cs="Times New Roman"/>
          <w:sz w:val="24"/>
        </w:rPr>
        <w:t>cance</w:t>
      </w:r>
      <w:proofErr w:type="spellEnd"/>
      <w:r>
        <w:rPr>
          <w:rFonts w:ascii="Times New Roman" w:eastAsia="Times New Roman" w:hAnsi="Times New Roman" w:cs="Times New Roman"/>
          <w:sz w:val="24"/>
        </w:rPr>
        <w:t xml:space="preserve"> model was inoculated at the left shoulder by injecting 5 × 10</w:t>
      </w:r>
      <w:r>
        <w:rPr>
          <w:rFonts w:ascii="Times New Roman" w:eastAsia="Times New Roman" w:hAnsi="Times New Roman" w:cs="Times New Roman"/>
          <w:sz w:val="24"/>
          <w:vertAlign w:val="superscript"/>
        </w:rPr>
        <w:t>6</w:t>
      </w:r>
      <w:r>
        <w:rPr>
          <w:rFonts w:ascii="Times New Roman" w:eastAsia="Times New Roman" w:hAnsi="Times New Roman" w:cs="Times New Roman"/>
          <w:sz w:val="24"/>
        </w:rPr>
        <w:t xml:space="preserve"> cells/site of HCT116/DR cells. Fourteen days after cell implantation, the tumor volume was approximately 100 mm</w:t>
      </w:r>
      <w:r>
        <w:rPr>
          <w:rFonts w:ascii="Times New Roman" w:eastAsia="Times New Roman" w:hAnsi="Times New Roman" w:cs="Times New Roman"/>
          <w:sz w:val="24"/>
          <w:vertAlign w:val="superscript"/>
        </w:rPr>
        <w:t>3</w:t>
      </w:r>
      <w:r>
        <w:rPr>
          <w:rFonts w:ascii="Times New Roman" w:eastAsia="Times New Roman" w:hAnsi="Times New Roman" w:cs="Times New Roman"/>
          <w:sz w:val="24"/>
        </w:rPr>
        <w:t>. The mice were randomly divided into 4 groups (5 mice per group), including OX (4</w:t>
      </w:r>
      <w:r>
        <w:rPr>
          <w:rFonts w:ascii="Times New Roman" w:eastAsia="宋体" w:hAnsi="Times New Roman" w:cs="Times New Roman" w:hint="eastAsia"/>
          <w:sz w:val="24"/>
        </w:rPr>
        <w:t xml:space="preserve"> </w:t>
      </w:r>
      <w:r>
        <w:rPr>
          <w:rFonts w:ascii="Times New Roman" w:eastAsia="Times New Roman" w:hAnsi="Times New Roman" w:cs="Times New Roman"/>
          <w:sz w:val="24"/>
        </w:rPr>
        <w:t>mg/kg), Se-</w:t>
      </w:r>
      <w:proofErr w:type="spellStart"/>
      <w:r>
        <w:rPr>
          <w:rFonts w:ascii="Times New Roman" w:eastAsia="Times New Roman" w:hAnsi="Times New Roman" w:cs="Times New Roman"/>
          <w:sz w:val="24"/>
        </w:rPr>
        <w:t>MnPs</w:t>
      </w:r>
      <w:proofErr w:type="spellEnd"/>
      <w:r>
        <w:rPr>
          <w:rFonts w:ascii="Times New Roman" w:eastAsia="Times New Roman" w:hAnsi="Times New Roman" w:cs="Times New Roman"/>
          <w:sz w:val="24"/>
        </w:rPr>
        <w:t xml:space="preserve"> (16</w:t>
      </w:r>
      <w:r>
        <w:rPr>
          <w:rFonts w:ascii="Times New Roman" w:eastAsia="宋体" w:hAnsi="Times New Roman" w:cs="Times New Roman" w:hint="eastAsia"/>
          <w:sz w:val="24"/>
        </w:rPr>
        <w:t xml:space="preserve"> </w:t>
      </w:r>
      <w:r>
        <w:rPr>
          <w:rFonts w:ascii="Times New Roman" w:eastAsia="Times New Roman" w:hAnsi="Times New Roman" w:cs="Times New Roman"/>
          <w:sz w:val="24"/>
        </w:rPr>
        <w:t xml:space="preserve">mg/kg), </w:t>
      </w:r>
      <w:proofErr w:type="spellStart"/>
      <w:r>
        <w:rPr>
          <w:rFonts w:ascii="Times New Roman" w:eastAsia="Times New Roman" w:hAnsi="Times New Roman" w:cs="Times New Roman"/>
          <w:sz w:val="24"/>
        </w:rPr>
        <w:t>OX@Se-MnPs</w:t>
      </w:r>
      <w:proofErr w:type="spellEnd"/>
      <w:r>
        <w:rPr>
          <w:rFonts w:ascii="Times New Roman" w:eastAsia="Times New Roman" w:hAnsi="Times New Roman" w:cs="Times New Roman"/>
          <w:sz w:val="24"/>
        </w:rPr>
        <w:t xml:space="preserve"> (20</w:t>
      </w:r>
      <w:r>
        <w:rPr>
          <w:rFonts w:ascii="Times New Roman" w:eastAsia="宋体" w:hAnsi="Times New Roman" w:cs="Times New Roman" w:hint="eastAsia"/>
          <w:sz w:val="24"/>
        </w:rPr>
        <w:t xml:space="preserve"> </w:t>
      </w:r>
      <w:r>
        <w:rPr>
          <w:rFonts w:ascii="Times New Roman" w:eastAsia="Times New Roman" w:hAnsi="Times New Roman" w:cs="Times New Roman"/>
          <w:sz w:val="24"/>
        </w:rPr>
        <w:t xml:space="preserve">mg/kg), and the blank control of physiological saline. The mice were intratumor injected with 100 </w:t>
      </w:r>
      <w:proofErr w:type="spellStart"/>
      <w:r>
        <w:rPr>
          <w:rFonts w:ascii="Times New Roman" w:eastAsia="Times New Roman" w:hAnsi="Times New Roman" w:cs="Times New Roman"/>
          <w:sz w:val="24"/>
        </w:rPr>
        <w:t>μL</w:t>
      </w:r>
      <w:proofErr w:type="spellEnd"/>
      <w:r>
        <w:rPr>
          <w:rFonts w:ascii="Times New Roman" w:eastAsia="Times New Roman" w:hAnsi="Times New Roman" w:cs="Times New Roman"/>
          <w:sz w:val="24"/>
        </w:rPr>
        <w:t xml:space="preserve"> of nanoparticles and PBS for each </w:t>
      </w:r>
      <w:r>
        <w:rPr>
          <w:rFonts w:ascii="Times New Roman" w:eastAsia="Times New Roman" w:hAnsi="Times New Roman" w:cs="Times New Roman"/>
          <w:sz w:val="24"/>
        </w:rPr>
        <w:lastRenderedPageBreak/>
        <w:t>mouse.</w:t>
      </w:r>
    </w:p>
    <w:p w14:paraId="49F58A79" w14:textId="77777777" w:rsidR="00154E7C" w:rsidRDefault="00000000">
      <w:pPr>
        <w:spacing w:line="480" w:lineRule="auto"/>
        <w:rPr>
          <w:rFonts w:ascii="Times New Roman" w:eastAsia="MS Mincho" w:hAnsi="Times New Roman" w:cs="Times New Roman"/>
          <w:kern w:val="0"/>
          <w:sz w:val="24"/>
        </w:rPr>
      </w:pPr>
      <w:r>
        <w:rPr>
          <w:rFonts w:ascii="等线" w:eastAsia="Times New Roman" w:hAnsi="等线" w:cs="Times New Roman"/>
          <w:szCs w:val="22"/>
        </w:rPr>
        <w:t xml:space="preserve"> </w:t>
      </w:r>
    </w:p>
    <w:p w14:paraId="6BCE2BE1" w14:textId="77777777" w:rsidR="00154E7C" w:rsidRDefault="00000000">
      <w:pPr>
        <w:spacing w:line="480" w:lineRule="auto"/>
        <w:rPr>
          <w:rFonts w:ascii="Times New Roman" w:eastAsia="Times New Roman" w:hAnsi="Times New Roman" w:cs="Times New Roman"/>
          <w:b/>
          <w:sz w:val="24"/>
        </w:rPr>
      </w:pPr>
      <w:r>
        <w:rPr>
          <w:rFonts w:ascii="Times New Roman" w:eastAsia="Times New Roman" w:hAnsi="Times New Roman" w:cs="Times New Roman"/>
          <w:b/>
          <w:sz w:val="24"/>
        </w:rPr>
        <w:t>Evaluation of Anti-</w:t>
      </w:r>
      <w:r>
        <w:rPr>
          <w:rFonts w:ascii="Times New Roman" w:eastAsia="宋体" w:hAnsi="Times New Roman" w:cs="Times New Roman" w:hint="eastAsia"/>
          <w:b/>
          <w:sz w:val="24"/>
        </w:rPr>
        <w:t>C</w:t>
      </w:r>
      <w:r>
        <w:rPr>
          <w:rFonts w:ascii="Times New Roman" w:eastAsia="Times New Roman" w:hAnsi="Times New Roman" w:cs="Times New Roman" w:hint="eastAsia"/>
          <w:b/>
          <w:sz w:val="24"/>
        </w:rPr>
        <w:t>olorectal cancer</w:t>
      </w:r>
      <w:r>
        <w:rPr>
          <w:rFonts w:ascii="Times New Roman" w:eastAsia="Times New Roman" w:hAnsi="Times New Roman" w:cs="Times New Roman"/>
          <w:b/>
          <w:sz w:val="24"/>
        </w:rPr>
        <w:t xml:space="preserve"> Activity </w:t>
      </w:r>
      <w:r>
        <w:rPr>
          <w:rFonts w:ascii="Times New Roman" w:eastAsia="Times New Roman" w:hAnsi="Times New Roman" w:cs="Times New Roman"/>
          <w:b/>
          <w:i/>
          <w:iCs/>
          <w:sz w:val="24"/>
        </w:rPr>
        <w:t>in Vivo</w:t>
      </w:r>
    </w:p>
    <w:p w14:paraId="5F765477" w14:textId="77777777" w:rsidR="00154E7C" w:rsidRDefault="00000000">
      <w:pPr>
        <w:spacing w:line="480" w:lineRule="auto"/>
        <w:ind w:firstLineChars="200" w:firstLine="480"/>
        <w:rPr>
          <w:rFonts w:ascii="Times New Roman" w:eastAsia="Times New Roman" w:hAnsi="Times New Roman" w:cs="Times New Roman"/>
          <w:sz w:val="24"/>
        </w:rPr>
      </w:pPr>
      <w:r>
        <w:rPr>
          <w:rFonts w:ascii="Times New Roman" w:eastAsia="Times New Roman" w:hAnsi="Times New Roman" w:cs="Times New Roman"/>
          <w:sz w:val="24"/>
        </w:rPr>
        <w:t>The mice were repeatedly treated and weighed every 2 days, and the tumor volume was measured with a vernier caliper according to the equation: volume (mm</w:t>
      </w:r>
      <w:r>
        <w:rPr>
          <w:rFonts w:ascii="Times New Roman" w:eastAsia="Times New Roman" w:hAnsi="Times New Roman" w:cs="Times New Roman"/>
          <w:sz w:val="24"/>
          <w:vertAlign w:val="superscript"/>
        </w:rPr>
        <w:t>3</w:t>
      </w:r>
      <w:r>
        <w:rPr>
          <w:rFonts w:ascii="Times New Roman" w:eastAsia="Times New Roman" w:hAnsi="Times New Roman" w:cs="Times New Roman"/>
          <w:sz w:val="24"/>
        </w:rPr>
        <w:t>) = (length × width</w:t>
      </w:r>
      <w:r>
        <w:rPr>
          <w:rFonts w:ascii="Times New Roman" w:eastAsia="Times New Roman" w:hAnsi="Times New Roman" w:cs="Times New Roman"/>
          <w:sz w:val="24"/>
          <w:vertAlign w:val="superscript"/>
        </w:rPr>
        <w:t>2</w:t>
      </w:r>
      <w:r>
        <w:rPr>
          <w:rFonts w:ascii="Times New Roman" w:eastAsia="Times New Roman" w:hAnsi="Times New Roman" w:cs="Times New Roman"/>
          <w:sz w:val="24"/>
        </w:rPr>
        <w:t xml:space="preserve">)/2. On day 14, all mice were euthanized, and an autopsy was conducted. The tumors were detached, weighed, and </w:t>
      </w:r>
      <w:r>
        <w:rPr>
          <w:rFonts w:ascii="Times New Roman" w:eastAsia="MS Mincho" w:hAnsi="Times New Roman" w:cs="Times New Roman"/>
          <w:sz w:val="24"/>
        </w:rPr>
        <w:t>ﬁ</w:t>
      </w:r>
      <w:r>
        <w:rPr>
          <w:rFonts w:ascii="Times New Roman" w:eastAsia="Times New Roman" w:hAnsi="Times New Roman" w:cs="Times New Roman"/>
          <w:sz w:val="24"/>
        </w:rPr>
        <w:t xml:space="preserve">xed with 10% neutral formalin. Tumor tissues were embedded with paraﬃn, sectioned at a thickness of 5 </w:t>
      </w:r>
      <w:proofErr w:type="spellStart"/>
      <w:r>
        <w:rPr>
          <w:rFonts w:ascii="Times New Roman" w:eastAsia="Times New Roman" w:hAnsi="Times New Roman" w:cs="Times New Roman"/>
          <w:sz w:val="24"/>
        </w:rPr>
        <w:t>μm</w:t>
      </w:r>
      <w:proofErr w:type="spellEnd"/>
      <w:r>
        <w:rPr>
          <w:rFonts w:ascii="Times New Roman" w:eastAsia="Times New Roman" w:hAnsi="Times New Roman" w:cs="Times New Roman"/>
          <w:sz w:val="24"/>
        </w:rPr>
        <w:t xml:space="preserve">, and mounted onto slides for histological examination. Tumor growth status and organ tissue lesions were observed using HE staining. Apoptotic colorectal </w:t>
      </w:r>
      <w:proofErr w:type="spellStart"/>
      <w:r>
        <w:rPr>
          <w:rFonts w:ascii="Times New Roman" w:eastAsia="Times New Roman" w:hAnsi="Times New Roman" w:cs="Times New Roman"/>
          <w:sz w:val="24"/>
        </w:rPr>
        <w:t>cance</w:t>
      </w:r>
      <w:proofErr w:type="spellEnd"/>
      <w:r>
        <w:rPr>
          <w:rFonts w:ascii="Times New Roman" w:eastAsia="Times New Roman" w:hAnsi="Times New Roman" w:cs="Times New Roman"/>
          <w:sz w:val="24"/>
        </w:rPr>
        <w:t xml:space="preserve"> cells in tumor tissues were detected with the Ki-67 assay. The caspase-3 was </w:t>
      </w:r>
      <w:bookmarkStart w:id="1" w:name="OLE_LINK3"/>
      <w:r>
        <w:rPr>
          <w:rFonts w:ascii="Times New Roman" w:eastAsia="Times New Roman" w:hAnsi="Times New Roman" w:cs="Times New Roman"/>
          <w:sz w:val="24"/>
        </w:rPr>
        <w:t>investigated by immunohistochemical analysis according to a previously reported method</w:t>
      </w:r>
      <w:bookmarkEnd w:id="1"/>
      <w:r>
        <w:rPr>
          <w:rFonts w:ascii="Times New Roman" w:eastAsia="Times New Roman" w:hAnsi="Times New Roman" w:cs="Times New Roman"/>
          <w:sz w:val="24"/>
        </w:rPr>
        <w:t>. The expression of MDR protein ABCB1, ABCC1, and ABCG2 were investigated by immunohistochemical analysis according to a previously reported method.</w:t>
      </w:r>
    </w:p>
    <w:p w14:paraId="599351A4" w14:textId="77777777" w:rsidR="00154E7C" w:rsidRDefault="00154E7C">
      <w:pPr>
        <w:spacing w:line="480" w:lineRule="auto"/>
        <w:rPr>
          <w:rFonts w:ascii="Times New Roman" w:eastAsia="Times New Roman" w:hAnsi="Times New Roman" w:cs="Times New Roman"/>
          <w:b/>
          <w:sz w:val="24"/>
        </w:rPr>
      </w:pPr>
    </w:p>
    <w:p w14:paraId="47691DAE" w14:textId="77777777" w:rsidR="00154E7C" w:rsidRDefault="00000000">
      <w:pPr>
        <w:spacing w:line="480" w:lineRule="auto"/>
        <w:jc w:val="center"/>
        <w:rPr>
          <w:rFonts w:ascii="Times New Roman" w:hAnsi="Times New Roman" w:cs="Times New Roman"/>
          <w:kern w:val="0"/>
          <w:sz w:val="24"/>
        </w:rPr>
      </w:pPr>
      <w:bookmarkStart w:id="2" w:name="OLE_LINK2"/>
      <w:r>
        <w:rPr>
          <w:rFonts w:ascii="Times New Roman" w:hAnsi="Times New Roman" w:cs="Times New Roman"/>
          <w:noProof/>
          <w:kern w:val="0"/>
          <w:sz w:val="24"/>
        </w:rPr>
        <w:drawing>
          <wp:inline distT="0" distB="0" distL="0" distR="0" wp14:anchorId="6A4428ED" wp14:editId="53E2EF01">
            <wp:extent cx="3261360" cy="273304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3268785" cy="2739074"/>
                    </a:xfrm>
                    <a:prstGeom prst="rect">
                      <a:avLst/>
                    </a:prstGeom>
                  </pic:spPr>
                </pic:pic>
              </a:graphicData>
            </a:graphic>
          </wp:inline>
        </w:drawing>
      </w:r>
    </w:p>
    <w:bookmarkEnd w:id="2"/>
    <w:p w14:paraId="26A47CF2" w14:textId="77777777" w:rsidR="00154E7C" w:rsidRDefault="00000000">
      <w:pPr>
        <w:spacing w:line="480" w:lineRule="auto"/>
        <w:rPr>
          <w:rFonts w:ascii="Times New Roman" w:eastAsia="MS Mincho" w:hAnsi="Times New Roman" w:cs="Times New Roman"/>
          <w:kern w:val="0"/>
          <w:sz w:val="24"/>
        </w:rPr>
      </w:pPr>
      <w:r>
        <w:rPr>
          <w:rFonts w:ascii="Times New Roman" w:eastAsia="MS Mincho" w:hAnsi="Times New Roman" w:cs="Times New Roman"/>
          <w:b/>
          <w:bCs/>
          <w:kern w:val="0"/>
          <w:sz w:val="24"/>
        </w:rPr>
        <w:lastRenderedPageBreak/>
        <w:t>Fig.S1.</w:t>
      </w:r>
      <w:r>
        <w:rPr>
          <w:rFonts w:ascii="Times New Roman" w:eastAsia="MS Mincho" w:hAnsi="Times New Roman" w:cs="Times New Roman"/>
          <w:kern w:val="0"/>
          <w:sz w:val="24"/>
        </w:rPr>
        <w:t xml:space="preserve"> (A) Transmission electron microscopy (TEM) of </w:t>
      </w:r>
      <w:proofErr w:type="spellStart"/>
      <w:r>
        <w:rPr>
          <w:rFonts w:ascii="Times New Roman" w:eastAsia="MS Mincho" w:hAnsi="Times New Roman" w:cs="Times New Roman"/>
          <w:kern w:val="0"/>
          <w:sz w:val="24"/>
        </w:rPr>
        <w:t>MnP</w:t>
      </w:r>
      <w:proofErr w:type="spellEnd"/>
      <w:r>
        <w:rPr>
          <w:rFonts w:ascii="Times New Roman" w:eastAsia="MS Mincho" w:hAnsi="Times New Roman" w:cs="Times New Roman"/>
          <w:kern w:val="0"/>
          <w:sz w:val="24"/>
        </w:rPr>
        <w:t>.</w:t>
      </w:r>
    </w:p>
    <w:p w14:paraId="0F5A1680" w14:textId="77777777" w:rsidR="00154E7C" w:rsidRDefault="00000000">
      <w:pPr>
        <w:spacing w:line="360" w:lineRule="auto"/>
        <w:jc w:val="center"/>
        <w:rPr>
          <w:rFonts w:ascii="Arial" w:eastAsia="宋体" w:hAnsi="Arial" w:cs="Arial"/>
          <w:b/>
          <w:bCs/>
          <w:color w:val="000000"/>
          <w:kern w:val="24"/>
          <w:sz w:val="24"/>
        </w:rPr>
      </w:pPr>
      <w:r>
        <w:rPr>
          <w:rFonts w:ascii="Arial" w:eastAsia="宋体" w:hAnsi="Arial" w:cs="Arial" w:hint="eastAsia"/>
          <w:b/>
          <w:bCs/>
          <w:noProof/>
          <w:color w:val="000000"/>
          <w:kern w:val="24"/>
          <w:sz w:val="24"/>
        </w:rPr>
        <w:drawing>
          <wp:inline distT="0" distB="0" distL="114300" distR="114300" wp14:anchorId="43F7CA36" wp14:editId="14155316">
            <wp:extent cx="5273675" cy="4035425"/>
            <wp:effectExtent l="0" t="0" r="9525" b="3175"/>
            <wp:docPr id="1" name="图片 1" descr="TG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G2.0"/>
                    <pic:cNvPicPr>
                      <a:picLocks noChangeAspect="1"/>
                    </pic:cNvPicPr>
                  </pic:nvPicPr>
                  <pic:blipFill>
                    <a:blip r:embed="rId8"/>
                    <a:stretch>
                      <a:fillRect/>
                    </a:stretch>
                  </pic:blipFill>
                  <pic:spPr>
                    <a:xfrm>
                      <a:off x="0" y="0"/>
                      <a:ext cx="5273675" cy="4035425"/>
                    </a:xfrm>
                    <a:prstGeom prst="rect">
                      <a:avLst/>
                    </a:prstGeom>
                  </pic:spPr>
                </pic:pic>
              </a:graphicData>
            </a:graphic>
          </wp:inline>
        </w:drawing>
      </w:r>
    </w:p>
    <w:p w14:paraId="0E1DE406" w14:textId="77777777" w:rsidR="00154E7C" w:rsidRDefault="00000000">
      <w:pPr>
        <w:spacing w:line="480" w:lineRule="auto"/>
        <w:rPr>
          <w:rFonts w:ascii="Times New Roman" w:eastAsia="宋体" w:hAnsi="Times New Roman" w:cs="Times New Roman"/>
          <w:color w:val="231F20"/>
          <w:kern w:val="0"/>
          <w:szCs w:val="21"/>
        </w:rPr>
      </w:pPr>
      <w:r>
        <w:rPr>
          <w:b/>
          <w:bCs/>
          <w:noProof/>
        </w:rPr>
        <mc:AlternateContent>
          <mc:Choice Requires="wps">
            <w:drawing>
              <wp:anchor distT="0" distB="0" distL="114300" distR="114300" simplePos="0" relativeHeight="251659264" behindDoc="0" locked="0" layoutInCell="1" allowOverlap="1" wp14:anchorId="112121D3" wp14:editId="3F1B6349">
                <wp:simplePos x="0" y="0"/>
                <wp:positionH relativeFrom="column">
                  <wp:posOffset>-44450</wp:posOffset>
                </wp:positionH>
                <wp:positionV relativeFrom="paragraph">
                  <wp:posOffset>1824990</wp:posOffset>
                </wp:positionV>
                <wp:extent cx="45720" cy="293370"/>
                <wp:effectExtent l="57150" t="0" r="49530" b="0"/>
                <wp:wrapNone/>
                <wp:docPr id="2" name="文本框 2"/>
                <wp:cNvGraphicFramePr/>
                <a:graphic xmlns:a="http://schemas.openxmlformats.org/drawingml/2006/main">
                  <a:graphicData uri="http://schemas.microsoft.com/office/word/2010/wordprocessingShape">
                    <wps:wsp>
                      <wps:cNvSpPr txBox="1"/>
                      <wps:spPr>
                        <a:xfrm flipH="1">
                          <a:off x="0" y="0"/>
                          <a:ext cx="45720" cy="293370"/>
                        </a:xfrm>
                        <a:prstGeom prst="rect">
                          <a:avLst/>
                        </a:prstGeom>
                        <a:noFill/>
                        <a:ln>
                          <a:noFill/>
                        </a:ln>
                        <a:effectLst/>
                      </wps:spPr>
                      <wps:txbx>
                        <w:txbxContent>
                          <w:p w14:paraId="0C3F5CF1" w14:textId="77777777" w:rsidR="00154E7C" w:rsidRDefault="00154E7C">
                            <w:pPr>
                              <w:spacing w:line="360" w:lineRule="auto"/>
                              <w:rPr>
                                <w:rFonts w:ascii="Arial" w:eastAsia="Times New Roman" w:hAnsi="Arial" w:cs="Arial"/>
                                <w:b/>
                                <w:bCs/>
                                <w:color w:val="000000"/>
                                <w:kern w:val="24"/>
                                <w:sz w:val="24"/>
                              </w:rPr>
                            </w:pPr>
                          </w:p>
                        </w:txbxContent>
                      </wps:txbx>
                      <wps:bodyPr wrap="square" rtlCol="0">
                        <a:noAutofit/>
                      </wps:bodyPr>
                    </wps:wsp>
                  </a:graphicData>
                </a:graphic>
              </wp:anchor>
            </w:drawing>
          </mc:Choice>
          <mc:Fallback xmlns:wpsCustomData="http://www.wps.cn/officeDocument/2013/wpsCustomData">
            <w:pict>
              <v:shape id="_x0000_s1026" o:spid="_x0000_s1026" o:spt="202" type="#_x0000_t202" style="position:absolute;left:0pt;flip:x;margin-left:-3.5pt;margin-top:143.7pt;height:23.1pt;width:3.6pt;z-index:251659264;mso-width-relative:page;mso-height-relative:page;" filled="f" stroked="f" coordsize="21600,21600" o:gfxdata="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LUlZ42QAAAAcBAAAPAAAAAAAAAAEAIAAAACIAAABk&#10;cnMvZG93bnJldi54bWxQSwECFAAUAAAACACHTuJAieaFbcwBAACLAwAADgAAAAAAAAABACAAAAAo&#10;AQAAZHJzL2Uyb0RvYy54bWxQSwUGAAAAAAYABgBZAQAAZgUAAAAA&#10;">
                <v:fill on="f" focussize="0,0"/>
                <v:stroke on="f"/>
                <v:imagedata o:title=""/>
                <o:lock v:ext="edit" aspectratio="f"/>
                <v:textbox>
                  <w:txbxContent>
                    <w:p>
                      <w:pPr>
                        <w:spacing w:line="360" w:lineRule="auto"/>
                        <w:rPr>
                          <w:rFonts w:ascii="Arial" w:hAnsi="Arial" w:eastAsia="Times New Roman" w:cs="Arial"/>
                          <w:b/>
                          <w:bCs/>
                          <w:color w:val="000000"/>
                          <w:kern w:val="24"/>
                          <w:sz w:val="24"/>
                        </w:rPr>
                      </w:pPr>
                    </w:p>
                  </w:txbxContent>
                </v:textbox>
              </v:shape>
            </w:pict>
          </mc:Fallback>
        </mc:AlternateContent>
      </w:r>
      <w:r>
        <w:rPr>
          <w:rFonts w:ascii="Times New Roman" w:eastAsia="宋体" w:hAnsi="Times New Roman" w:cs="Times New Roman"/>
          <w:b/>
          <w:bCs/>
          <w:color w:val="231F20"/>
          <w:kern w:val="0"/>
          <w:szCs w:val="21"/>
        </w:rPr>
        <w:t xml:space="preserve"> </w:t>
      </w:r>
      <w:r>
        <w:rPr>
          <w:rFonts w:ascii="Times New Roman" w:eastAsia="MS Mincho" w:hAnsi="Times New Roman" w:cs="Times New Roman"/>
          <w:b/>
          <w:bCs/>
          <w:kern w:val="0"/>
          <w:sz w:val="24"/>
        </w:rPr>
        <w:t>Fig. S2.</w:t>
      </w:r>
      <w:r>
        <w:rPr>
          <w:rFonts w:ascii="Times New Roman" w:eastAsia="MS Mincho" w:hAnsi="Times New Roman" w:cs="Times New Roman"/>
          <w:kern w:val="0"/>
          <w:sz w:val="24"/>
        </w:rPr>
        <w:t xml:space="preserve"> Thermogravimetric analysis of Se-</w:t>
      </w:r>
      <w:proofErr w:type="spellStart"/>
      <w:r>
        <w:rPr>
          <w:rFonts w:ascii="Times New Roman" w:eastAsia="MS Mincho" w:hAnsi="Times New Roman" w:cs="Times New Roman"/>
          <w:kern w:val="0"/>
          <w:sz w:val="24"/>
        </w:rPr>
        <w:t>MnP</w:t>
      </w:r>
      <w:proofErr w:type="spellEnd"/>
      <w:r>
        <w:rPr>
          <w:rFonts w:ascii="Times New Roman" w:eastAsia="MS Mincho" w:hAnsi="Times New Roman" w:cs="Times New Roman"/>
          <w:kern w:val="0"/>
          <w:sz w:val="24"/>
        </w:rPr>
        <w:t xml:space="preserve"> and </w:t>
      </w:r>
      <w:proofErr w:type="spellStart"/>
      <w:r>
        <w:rPr>
          <w:rFonts w:ascii="Times New Roman" w:eastAsia="MS Mincho" w:hAnsi="Times New Roman" w:cs="Times New Roman"/>
          <w:kern w:val="0"/>
          <w:sz w:val="24"/>
        </w:rPr>
        <w:t>OX@Se-MnP</w:t>
      </w:r>
      <w:proofErr w:type="spellEnd"/>
      <w:r>
        <w:rPr>
          <w:rFonts w:ascii="Times New Roman" w:eastAsia="MS Mincho" w:hAnsi="Times New Roman" w:cs="Times New Roman"/>
          <w:kern w:val="0"/>
          <w:sz w:val="24"/>
        </w:rPr>
        <w:t>.</w:t>
      </w:r>
    </w:p>
    <w:p w14:paraId="2BC18483" w14:textId="77777777" w:rsidR="00154E7C" w:rsidRDefault="00154E7C">
      <w:pPr>
        <w:spacing w:line="480" w:lineRule="auto"/>
        <w:rPr>
          <w:rFonts w:ascii="Times New Roman" w:eastAsia="宋体" w:hAnsi="Times New Roman" w:cs="Times New Roman"/>
          <w:color w:val="231F20"/>
          <w:kern w:val="0"/>
          <w:szCs w:val="21"/>
        </w:rPr>
      </w:pPr>
    </w:p>
    <w:p w14:paraId="3A055042" w14:textId="77777777" w:rsidR="00154E7C" w:rsidRDefault="00000000">
      <w:pPr>
        <w:spacing w:line="480" w:lineRule="auto"/>
        <w:jc w:val="center"/>
        <w:rPr>
          <w:rFonts w:ascii="Times New Roman" w:eastAsia="宋体" w:hAnsi="Times New Roman" w:cs="Times New Roman"/>
          <w:color w:val="231F20"/>
          <w:kern w:val="0"/>
          <w:szCs w:val="21"/>
        </w:rPr>
      </w:pPr>
      <w:r>
        <w:rPr>
          <w:rFonts w:ascii="Times New Roman" w:eastAsia="宋体" w:hAnsi="Times New Roman" w:cs="Times New Roman"/>
          <w:noProof/>
          <w:color w:val="231F20"/>
          <w:kern w:val="0"/>
          <w:szCs w:val="21"/>
        </w:rPr>
        <w:drawing>
          <wp:inline distT="0" distB="0" distL="0" distR="0" wp14:anchorId="18BCB3E0" wp14:editId="1A4D4F60">
            <wp:extent cx="3297555" cy="3043555"/>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303083" cy="3048969"/>
                    </a:xfrm>
                    <a:prstGeom prst="rect">
                      <a:avLst/>
                    </a:prstGeom>
                  </pic:spPr>
                </pic:pic>
              </a:graphicData>
            </a:graphic>
          </wp:inline>
        </w:drawing>
      </w:r>
    </w:p>
    <w:p w14:paraId="78E4D66E" w14:textId="77777777" w:rsidR="00154E7C" w:rsidRDefault="00000000">
      <w:pPr>
        <w:spacing w:line="480" w:lineRule="auto"/>
        <w:rPr>
          <w:rFonts w:ascii="Times New Roman" w:eastAsia="MS Mincho" w:hAnsi="Times New Roman" w:cs="Times New Roman"/>
          <w:kern w:val="0"/>
          <w:sz w:val="24"/>
        </w:rPr>
      </w:pPr>
      <w:r>
        <w:rPr>
          <w:rFonts w:ascii="Times New Roman" w:eastAsia="MS Mincho" w:hAnsi="Times New Roman" w:cs="Times New Roman"/>
          <w:b/>
          <w:bCs/>
          <w:kern w:val="0"/>
          <w:sz w:val="24"/>
        </w:rPr>
        <w:t>Fig. S3</w:t>
      </w:r>
      <w:r>
        <w:rPr>
          <w:rFonts w:asciiTheme="minorEastAsia" w:hAnsiTheme="minorEastAsia" w:cs="Times New Roman"/>
          <w:kern w:val="0"/>
          <w:sz w:val="24"/>
        </w:rPr>
        <w:t>.</w:t>
      </w:r>
      <w:bookmarkStart w:id="3" w:name="_Hlk109137766"/>
      <w:r>
        <w:rPr>
          <w:rFonts w:ascii="Times New Roman" w:eastAsia="MS Mincho" w:hAnsi="Times New Roman" w:cs="Times New Roman" w:hint="eastAsia"/>
          <w:kern w:val="0"/>
          <w:sz w:val="24"/>
        </w:rPr>
        <w:t xml:space="preserve"> </w:t>
      </w:r>
      <w:r>
        <w:rPr>
          <w:rFonts w:ascii="Times New Roman" w:eastAsia="MS Mincho" w:hAnsi="Times New Roman" w:cs="Times New Roman"/>
          <w:kern w:val="0"/>
          <w:sz w:val="24"/>
        </w:rPr>
        <w:t xml:space="preserve">Stability of </w:t>
      </w:r>
      <w:r>
        <w:rPr>
          <w:rFonts w:ascii="Times New Roman" w:eastAsia="MS Mincho" w:hAnsi="Times New Roman" w:cs="Times New Roman" w:hint="eastAsia"/>
          <w:kern w:val="0"/>
          <w:sz w:val="24"/>
        </w:rPr>
        <w:t>Se-</w:t>
      </w:r>
      <w:proofErr w:type="spellStart"/>
      <w:r>
        <w:rPr>
          <w:rFonts w:ascii="Times New Roman" w:eastAsia="MS Mincho" w:hAnsi="Times New Roman" w:cs="Times New Roman" w:hint="eastAsia"/>
          <w:kern w:val="0"/>
          <w:sz w:val="24"/>
        </w:rPr>
        <w:t>MnP</w:t>
      </w:r>
      <w:proofErr w:type="spellEnd"/>
      <w:r>
        <w:rPr>
          <w:rFonts w:ascii="Times New Roman" w:eastAsia="MS Mincho" w:hAnsi="Times New Roman" w:cs="Times New Roman" w:hint="eastAsia"/>
          <w:kern w:val="0"/>
          <w:sz w:val="24"/>
        </w:rPr>
        <w:t xml:space="preserve"> at </w:t>
      </w:r>
      <w:r>
        <w:rPr>
          <w:rFonts w:ascii="Times New Roman" w:eastAsia="MS Mincho" w:hAnsi="Times New Roman" w:cs="Times New Roman"/>
          <w:kern w:val="0"/>
          <w:sz w:val="24"/>
        </w:rPr>
        <w:t xml:space="preserve">PBS solution with different pH values of </w:t>
      </w:r>
      <w:r>
        <w:rPr>
          <w:rFonts w:ascii="Times New Roman" w:eastAsia="MS Mincho" w:hAnsi="Times New Roman" w:cs="Times New Roman" w:hint="eastAsia"/>
          <w:kern w:val="0"/>
          <w:sz w:val="24"/>
        </w:rPr>
        <w:t xml:space="preserve">7.4, 6.5 and </w:t>
      </w:r>
      <w:r>
        <w:rPr>
          <w:rFonts w:ascii="Times New Roman" w:eastAsia="MS Mincho" w:hAnsi="Times New Roman" w:cs="Times New Roman" w:hint="eastAsia"/>
          <w:kern w:val="0"/>
          <w:sz w:val="24"/>
        </w:rPr>
        <w:lastRenderedPageBreak/>
        <w:t>5.0 for 24 h</w:t>
      </w:r>
      <w:bookmarkEnd w:id="3"/>
      <w:r>
        <w:rPr>
          <w:rFonts w:ascii="Times New Roman" w:eastAsia="MS Mincho" w:hAnsi="Times New Roman" w:cs="Times New Roman"/>
          <w:kern w:val="0"/>
          <w:sz w:val="24"/>
        </w:rPr>
        <w:t>.</w:t>
      </w:r>
    </w:p>
    <w:p w14:paraId="7E032DB9" w14:textId="77777777" w:rsidR="00154E7C" w:rsidRDefault="00154E7C">
      <w:pPr>
        <w:spacing w:line="480" w:lineRule="auto"/>
        <w:rPr>
          <w:rFonts w:ascii="Times New Roman" w:hAnsi="Times New Roman" w:cs="Times New Roman"/>
          <w:b/>
          <w:bCs/>
          <w:szCs w:val="22"/>
        </w:rPr>
      </w:pPr>
    </w:p>
    <w:p w14:paraId="5AFE0479" w14:textId="77777777" w:rsidR="00154E7C" w:rsidRDefault="00000000">
      <w:pPr>
        <w:spacing w:line="480" w:lineRule="auto"/>
        <w:jc w:val="center"/>
        <w:rPr>
          <w:rFonts w:ascii="Times New Roman" w:hAnsi="Times New Roman" w:cs="Times New Roman"/>
          <w:b/>
          <w:bCs/>
          <w:szCs w:val="22"/>
        </w:rPr>
      </w:pPr>
      <w:r>
        <w:rPr>
          <w:rFonts w:ascii="Times New Roman" w:eastAsia="Times New Roman" w:hAnsi="Times New Roman" w:cs="Times New Roman"/>
          <w:b/>
          <w:bCs/>
          <w:noProof/>
          <w:szCs w:val="22"/>
        </w:rPr>
        <w:drawing>
          <wp:inline distT="0" distB="0" distL="0" distR="0" wp14:anchorId="22EAD5CA" wp14:editId="26187DE7">
            <wp:extent cx="4451985" cy="326834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458365" cy="3273189"/>
                    </a:xfrm>
                    <a:prstGeom prst="rect">
                      <a:avLst/>
                    </a:prstGeom>
                  </pic:spPr>
                </pic:pic>
              </a:graphicData>
            </a:graphic>
          </wp:inline>
        </w:drawing>
      </w:r>
    </w:p>
    <w:p w14:paraId="5DFE6FF2" w14:textId="77777777" w:rsidR="00154E7C" w:rsidRDefault="00000000">
      <w:pPr>
        <w:spacing w:line="480" w:lineRule="auto"/>
        <w:rPr>
          <w:rFonts w:ascii="Times New Roman" w:eastAsia="Times New Roman" w:hAnsi="Times New Roman" w:cs="Times New Roman"/>
          <w:b/>
          <w:bCs/>
          <w:szCs w:val="22"/>
        </w:rPr>
      </w:pPr>
      <w:r>
        <w:rPr>
          <w:rFonts w:ascii="Times New Roman" w:eastAsia="Times New Roman" w:hAnsi="Times New Roman" w:cs="Times New Roman"/>
          <w:b/>
          <w:bCs/>
          <w:szCs w:val="22"/>
        </w:rPr>
        <w:t>Fig.S4. (A, B)</w:t>
      </w:r>
      <w:r>
        <w:rPr>
          <w:rFonts w:ascii="Times New Roman" w:eastAsia="Times New Roman" w:hAnsi="Times New Roman" w:cs="Times New Roman"/>
          <w:szCs w:val="22"/>
        </w:rPr>
        <w:t xml:space="preserve"> Viability of HCT116/DR and HCT116 cells of treatment with OX with different concentration</w:t>
      </w:r>
    </w:p>
    <w:p w14:paraId="05197687" w14:textId="77777777" w:rsidR="00154E7C" w:rsidRDefault="00154E7C">
      <w:pPr>
        <w:spacing w:line="480" w:lineRule="auto"/>
        <w:rPr>
          <w:rFonts w:ascii="Times New Roman" w:eastAsia="等线" w:hAnsi="Times New Roman" w:cs="Times New Roman"/>
          <w:szCs w:val="22"/>
        </w:rPr>
      </w:pPr>
    </w:p>
    <w:p w14:paraId="3CE4C3D4" w14:textId="77777777" w:rsidR="00154E7C" w:rsidRDefault="00000000">
      <w:pPr>
        <w:spacing w:line="480" w:lineRule="auto"/>
        <w:jc w:val="center"/>
        <w:rPr>
          <w:rFonts w:ascii="Times New Roman" w:eastAsia="等线" w:hAnsi="Times New Roman" w:cs="Times New Roman"/>
          <w:szCs w:val="22"/>
        </w:rPr>
      </w:pPr>
      <w:r>
        <w:rPr>
          <w:noProof/>
        </w:rPr>
        <w:lastRenderedPageBreak/>
        <w:drawing>
          <wp:inline distT="0" distB="0" distL="0" distR="0" wp14:anchorId="14A2C064" wp14:editId="42BB7C04">
            <wp:extent cx="4843780" cy="367792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54911" cy="3686483"/>
                    </a:xfrm>
                    <a:prstGeom prst="rect">
                      <a:avLst/>
                    </a:prstGeom>
                  </pic:spPr>
                </pic:pic>
              </a:graphicData>
            </a:graphic>
          </wp:inline>
        </w:drawing>
      </w:r>
    </w:p>
    <w:p w14:paraId="2F396AFE" w14:textId="77777777" w:rsidR="00154E7C" w:rsidRDefault="00000000">
      <w:pPr>
        <w:spacing w:line="480" w:lineRule="auto"/>
        <w:rPr>
          <w:rFonts w:ascii="Times New Roman" w:eastAsia="Times New Roman" w:hAnsi="Times New Roman" w:cs="Times New Roman"/>
          <w:szCs w:val="22"/>
        </w:rPr>
      </w:pPr>
      <w:r>
        <w:rPr>
          <w:rFonts w:ascii="Times New Roman" w:eastAsia="Times New Roman" w:hAnsi="Times New Roman" w:cs="Times New Roman"/>
          <w:b/>
          <w:bCs/>
          <w:szCs w:val="22"/>
        </w:rPr>
        <w:t>Fig.S5. (A, B)</w:t>
      </w:r>
      <w:r>
        <w:rPr>
          <w:rFonts w:ascii="Times New Roman" w:eastAsia="Times New Roman" w:hAnsi="Times New Roman" w:cs="Times New Roman"/>
          <w:szCs w:val="22"/>
        </w:rPr>
        <w:t xml:space="preserve"> Viability of HCT116/DR and HCT116 cells of treatment with Se-</w:t>
      </w:r>
      <w:proofErr w:type="spellStart"/>
      <w:r>
        <w:rPr>
          <w:rFonts w:ascii="Times New Roman" w:eastAsia="Times New Roman" w:hAnsi="Times New Roman" w:cs="Times New Roman"/>
          <w:szCs w:val="22"/>
        </w:rPr>
        <w:t>MnP</w:t>
      </w:r>
      <w:proofErr w:type="spellEnd"/>
      <w:r>
        <w:rPr>
          <w:rFonts w:ascii="Times New Roman" w:eastAsia="Times New Roman" w:hAnsi="Times New Roman" w:cs="Times New Roman"/>
          <w:szCs w:val="22"/>
        </w:rPr>
        <w:t xml:space="preserve"> with different concentration</w:t>
      </w:r>
    </w:p>
    <w:p w14:paraId="48CA56FC" w14:textId="77777777" w:rsidR="00154E7C" w:rsidRDefault="00154E7C">
      <w:pPr>
        <w:spacing w:line="480" w:lineRule="auto"/>
        <w:rPr>
          <w:rFonts w:ascii="Times New Roman" w:eastAsia="等线" w:hAnsi="Times New Roman" w:cs="Times New Roman"/>
          <w:szCs w:val="22"/>
        </w:rPr>
      </w:pPr>
    </w:p>
    <w:p w14:paraId="1577CAAE" w14:textId="77777777" w:rsidR="00154E7C" w:rsidRDefault="00000000">
      <w:pPr>
        <w:spacing w:line="480" w:lineRule="auto"/>
        <w:jc w:val="center"/>
        <w:rPr>
          <w:rFonts w:ascii="Times New Roman" w:eastAsia="等线" w:hAnsi="Times New Roman" w:cs="Times New Roman"/>
          <w:szCs w:val="22"/>
        </w:rPr>
      </w:pPr>
      <w:r>
        <w:rPr>
          <w:rFonts w:ascii="Times New Roman" w:eastAsia="等线" w:hAnsi="Times New Roman" w:cs="Times New Roman"/>
          <w:noProof/>
          <w:szCs w:val="22"/>
        </w:rPr>
        <w:drawing>
          <wp:inline distT="0" distB="0" distL="0" distR="0" wp14:anchorId="2D918E6E" wp14:editId="4411D7CB">
            <wp:extent cx="4841240" cy="2925445"/>
            <wp:effectExtent l="0" t="0" r="0" b="825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859169" cy="2936210"/>
                    </a:xfrm>
                    <a:prstGeom prst="rect">
                      <a:avLst/>
                    </a:prstGeom>
                  </pic:spPr>
                </pic:pic>
              </a:graphicData>
            </a:graphic>
          </wp:inline>
        </w:drawing>
      </w:r>
    </w:p>
    <w:p w14:paraId="2FA7337A" w14:textId="77777777" w:rsidR="00154E7C" w:rsidRDefault="00000000">
      <w:pPr>
        <w:spacing w:line="480" w:lineRule="auto"/>
        <w:jc w:val="center"/>
        <w:rPr>
          <w:rFonts w:ascii="Times New Roman" w:eastAsia="Times New Roman" w:hAnsi="Times New Roman" w:cs="Times New Roman"/>
          <w:szCs w:val="22"/>
        </w:rPr>
      </w:pPr>
      <w:r>
        <w:rPr>
          <w:rFonts w:ascii="Times New Roman" w:eastAsia="Times New Roman" w:hAnsi="Times New Roman" w:cs="Times New Roman"/>
          <w:b/>
          <w:bCs/>
          <w:kern w:val="0"/>
          <w:sz w:val="24"/>
        </w:rPr>
        <w:t>Fig.S6.</w:t>
      </w:r>
      <w:r>
        <w:rPr>
          <w:rFonts w:ascii="Times New Roman" w:eastAsia="Times New Roman" w:hAnsi="Times New Roman" w:cs="Times New Roman"/>
          <w:kern w:val="0"/>
          <w:sz w:val="24"/>
        </w:rPr>
        <w:t xml:space="preserve"> The images of </w:t>
      </w:r>
      <w:proofErr w:type="spellStart"/>
      <w:r>
        <w:rPr>
          <w:rFonts w:ascii="Times New Roman" w:eastAsia="Times New Roman" w:hAnsi="Times New Roman" w:cs="Times New Roman"/>
          <w:kern w:val="0"/>
          <w:sz w:val="24"/>
        </w:rPr>
        <w:t>Calcein</w:t>
      </w:r>
      <w:proofErr w:type="spellEnd"/>
      <w:r>
        <w:rPr>
          <w:rFonts w:ascii="Times New Roman" w:eastAsia="Times New Roman" w:hAnsi="Times New Roman" w:cs="Times New Roman"/>
          <w:kern w:val="0"/>
          <w:sz w:val="24"/>
        </w:rPr>
        <w:t xml:space="preserve"> AM and PI stained HCT116/DR cells treated with OX, Se-</w:t>
      </w:r>
      <w:proofErr w:type="spellStart"/>
      <w:r>
        <w:rPr>
          <w:rFonts w:ascii="Times New Roman" w:eastAsia="Times New Roman" w:hAnsi="Times New Roman" w:cs="Times New Roman"/>
          <w:kern w:val="0"/>
          <w:sz w:val="24"/>
        </w:rPr>
        <w:t>MnP</w:t>
      </w:r>
      <w:proofErr w:type="spellEnd"/>
      <w:r>
        <w:rPr>
          <w:rFonts w:ascii="Times New Roman" w:eastAsia="Times New Roman" w:hAnsi="Times New Roman" w:cs="Times New Roman"/>
          <w:kern w:val="0"/>
          <w:sz w:val="24"/>
        </w:rPr>
        <w:t xml:space="preserve">, </w:t>
      </w:r>
      <w:proofErr w:type="spellStart"/>
      <w:r>
        <w:rPr>
          <w:rFonts w:ascii="Times New Roman" w:eastAsia="Times New Roman" w:hAnsi="Times New Roman" w:cs="Times New Roman"/>
          <w:kern w:val="0"/>
          <w:sz w:val="24"/>
        </w:rPr>
        <w:t>OX+Se-MnP</w:t>
      </w:r>
      <w:proofErr w:type="spellEnd"/>
      <w:r>
        <w:rPr>
          <w:rFonts w:ascii="Times New Roman" w:eastAsia="Times New Roman" w:hAnsi="Times New Roman" w:cs="Times New Roman"/>
          <w:kern w:val="0"/>
          <w:sz w:val="24"/>
        </w:rPr>
        <w:t xml:space="preserve">, and </w:t>
      </w:r>
      <w:proofErr w:type="spellStart"/>
      <w:r>
        <w:rPr>
          <w:rFonts w:ascii="Times New Roman" w:eastAsia="Times New Roman" w:hAnsi="Times New Roman" w:cs="Times New Roman"/>
          <w:kern w:val="0"/>
          <w:sz w:val="24"/>
        </w:rPr>
        <w:t>OX@Se-MnP</w:t>
      </w:r>
      <w:proofErr w:type="spellEnd"/>
      <w:r>
        <w:rPr>
          <w:rFonts w:ascii="宋体" w:eastAsia="宋体" w:hAnsi="宋体" w:cs="宋体" w:hint="eastAsia"/>
          <w:kern w:val="0"/>
          <w:sz w:val="24"/>
        </w:rPr>
        <w:t>.</w:t>
      </w:r>
      <w:r>
        <w:rPr>
          <w:rFonts w:ascii="Times New Roman" w:eastAsia="Times New Roman" w:hAnsi="Times New Roman" w:cs="Times New Roman"/>
          <w:kern w:val="0"/>
          <w:sz w:val="24"/>
        </w:rPr>
        <w:cr/>
      </w:r>
      <w:r>
        <w:rPr>
          <w:noProof/>
        </w:rPr>
        <w:lastRenderedPageBreak/>
        <w:drawing>
          <wp:inline distT="0" distB="0" distL="0" distR="0" wp14:anchorId="7B906BAC" wp14:editId="6E7F9905">
            <wp:extent cx="3406775" cy="2242185"/>
            <wp:effectExtent l="0" t="0" r="0" b="0"/>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C6EA6FD" w14:textId="77777777" w:rsidR="00154E7C" w:rsidRDefault="00000000">
      <w:pPr>
        <w:spacing w:line="480" w:lineRule="auto"/>
        <w:rPr>
          <w:rFonts w:ascii="Times New Roman" w:hAnsi="Times New Roman" w:cs="Times New Roman"/>
          <w:szCs w:val="22"/>
        </w:rPr>
      </w:pPr>
      <m:oMathPara>
        <m:oMathParaPr>
          <m:jc m:val="center"/>
        </m:oMathParaPr>
        <m:oMath>
          <m:r>
            <w:rPr>
              <w:rFonts w:ascii="Cambria Math" w:hAnsi="Cambria Math" w:cs="Times New Roman"/>
              <w:szCs w:val="22"/>
            </w:rPr>
            <m:t>DL%</m:t>
          </m:r>
          <m:r>
            <m:rPr>
              <m:sty m:val="p"/>
            </m:rPr>
            <w:rPr>
              <w:rFonts w:ascii="Cambria Math" w:eastAsia="Cambria Math" w:hAnsi="Cambria Math" w:cs="Cambria Math"/>
              <w:szCs w:val="22"/>
            </w:rPr>
            <m:t>=</m:t>
          </m:r>
          <m:f>
            <m:fPr>
              <m:ctrlPr>
                <w:rPr>
                  <w:rFonts w:ascii="Cambria Math" w:eastAsia="Cambria Math" w:hAnsi="Cambria Math" w:cs="Times New Roman"/>
                  <w:szCs w:val="22"/>
                </w:rPr>
              </m:ctrlPr>
            </m:fPr>
            <m:num>
              <m:r>
                <m:rPr>
                  <m:sty m:val="p"/>
                </m:rPr>
                <w:rPr>
                  <w:rFonts w:ascii="Cambria Math" w:eastAsia="Cambria Math" w:hAnsi="Cambria Math" w:cs="Cambria Math"/>
                  <w:szCs w:val="22"/>
                </w:rPr>
                <m:t>W</m:t>
              </m:r>
              <m:r>
                <m:rPr>
                  <m:sty m:val="p"/>
                </m:rPr>
                <w:rPr>
                  <w:rFonts w:ascii="Cambria Math" w:hAnsi="Cambria Math" w:cs="Cambria Math" w:hint="eastAsia"/>
                  <w:szCs w:val="22"/>
                </w:rPr>
                <m:t>e</m:t>
              </m:r>
              <m:r>
                <m:rPr>
                  <m:sty m:val="p"/>
                </m:rPr>
                <w:rPr>
                  <w:rFonts w:ascii="Cambria Math" w:hAnsi="Cambria Math" w:cs="Cambria Math"/>
                  <w:szCs w:val="22"/>
                </w:rPr>
                <m:t>ight of loaded drug</m:t>
              </m:r>
            </m:num>
            <m:den>
              <m:r>
                <m:rPr>
                  <m:sty m:val="p"/>
                </m:rPr>
                <w:rPr>
                  <w:rFonts w:ascii="Cambria Math" w:eastAsia="Cambria Math" w:hAnsi="Cambria Math" w:cs="Cambria Math"/>
                  <w:szCs w:val="22"/>
                </w:rPr>
                <m:t>Weight of nanoparticle and drug</m:t>
              </m:r>
            </m:den>
          </m:f>
          <m:r>
            <w:rPr>
              <w:rFonts w:ascii="Cambria Math" w:eastAsia="Cambria Math" w:hAnsi="Cambria Math" w:cs="Times New Roman"/>
              <w:szCs w:val="22"/>
            </w:rPr>
            <m:t>*100%</m:t>
          </m:r>
        </m:oMath>
      </m:oMathPara>
    </w:p>
    <w:p w14:paraId="7C08FF50" w14:textId="77777777" w:rsidR="00154E7C" w:rsidRDefault="00000000">
      <w:pPr>
        <w:spacing w:line="480" w:lineRule="auto"/>
        <w:rPr>
          <w:rFonts w:ascii="Times New Roman" w:hAnsi="Times New Roman" w:cs="Times New Roman"/>
          <w:szCs w:val="22"/>
        </w:rPr>
      </w:pPr>
      <m:oMathPara>
        <m:oMathParaPr>
          <m:jc m:val="center"/>
        </m:oMathParaPr>
        <m:oMath>
          <m:r>
            <w:rPr>
              <w:rFonts w:ascii="Cambria Math" w:hAnsi="Cambria Math" w:cs="Times New Roman"/>
              <w:szCs w:val="22"/>
            </w:rPr>
            <m:t>EE%</m:t>
          </m:r>
          <m:r>
            <m:rPr>
              <m:sty m:val="p"/>
            </m:rPr>
            <w:rPr>
              <w:rFonts w:ascii="Cambria Math" w:eastAsia="Cambria Math" w:hAnsi="Cambria Math" w:cs="Cambria Math"/>
              <w:szCs w:val="22"/>
            </w:rPr>
            <m:t>=</m:t>
          </m:r>
          <m:f>
            <m:fPr>
              <m:ctrlPr>
                <w:rPr>
                  <w:rFonts w:ascii="Cambria Math" w:eastAsia="Cambria Math" w:hAnsi="Cambria Math" w:cs="Times New Roman"/>
                  <w:szCs w:val="22"/>
                </w:rPr>
              </m:ctrlPr>
            </m:fPr>
            <m:num>
              <m:r>
                <m:rPr>
                  <m:sty m:val="p"/>
                </m:rPr>
                <w:rPr>
                  <w:rFonts w:ascii="Cambria Math" w:eastAsia="Cambria Math" w:hAnsi="Cambria Math" w:cs="Cambria Math"/>
                  <w:szCs w:val="22"/>
                </w:rPr>
                <m:t>W</m:t>
              </m:r>
              <m:r>
                <m:rPr>
                  <m:sty m:val="p"/>
                </m:rPr>
                <w:rPr>
                  <w:rFonts w:ascii="Cambria Math" w:hAnsi="Cambria Math" w:cs="Cambria Math" w:hint="eastAsia"/>
                  <w:szCs w:val="22"/>
                </w:rPr>
                <m:t>e</m:t>
              </m:r>
              <m:r>
                <m:rPr>
                  <m:sty m:val="p"/>
                </m:rPr>
                <w:rPr>
                  <w:rFonts w:ascii="Cambria Math" w:hAnsi="Cambria Math" w:cs="Cambria Math"/>
                  <w:szCs w:val="22"/>
                </w:rPr>
                <m:t>ight of loaded drug</m:t>
              </m:r>
            </m:num>
            <m:den>
              <m:r>
                <m:rPr>
                  <m:sty m:val="p"/>
                </m:rPr>
                <w:rPr>
                  <w:rFonts w:ascii="Cambria Math" w:eastAsia="Cambria Math" w:hAnsi="Cambria Math" w:cs="Cambria Math"/>
                  <w:szCs w:val="22"/>
                </w:rPr>
                <m:t>Weight of feeding drug</m:t>
              </m:r>
            </m:den>
          </m:f>
          <m:r>
            <w:rPr>
              <w:rFonts w:ascii="Cambria Math" w:eastAsia="Cambria Math" w:hAnsi="Cambria Math" w:cs="Times New Roman"/>
              <w:szCs w:val="22"/>
            </w:rPr>
            <m:t>*100%</m:t>
          </m:r>
        </m:oMath>
      </m:oMathPara>
    </w:p>
    <w:p w14:paraId="0037A43D" w14:textId="77777777" w:rsidR="00154E7C" w:rsidRDefault="00154E7C">
      <w:pPr>
        <w:widowControl/>
        <w:kinsoku w:val="0"/>
        <w:overflowPunct w:val="0"/>
        <w:spacing w:line="480" w:lineRule="auto"/>
        <w:textAlignment w:val="baseline"/>
        <w:rPr>
          <w:rFonts w:ascii="Times New Roman" w:eastAsia="等线" w:hAnsi="Times New Roman" w:cs="Times New Roman"/>
          <w:b/>
          <w:color w:val="000000"/>
          <w:kern w:val="24"/>
          <w:sz w:val="24"/>
        </w:rPr>
      </w:pPr>
    </w:p>
    <w:p w14:paraId="71A47B85" w14:textId="77777777" w:rsidR="00154E7C" w:rsidRDefault="00000000">
      <w:pPr>
        <w:widowControl/>
        <w:kinsoku w:val="0"/>
        <w:overflowPunct w:val="0"/>
        <w:spacing w:line="480" w:lineRule="auto"/>
        <w:textAlignment w:val="baseline"/>
        <w:rPr>
          <w:rFonts w:ascii="Times New Roman" w:eastAsia="等线" w:hAnsi="Times New Roman" w:cs="Times New Roman"/>
          <w:b/>
          <w:color w:val="000000"/>
          <w:kern w:val="24"/>
          <w:sz w:val="24"/>
        </w:rPr>
      </w:pPr>
      <w:r>
        <w:rPr>
          <w:rFonts w:ascii="Times New Roman" w:eastAsia="等线" w:hAnsi="Times New Roman" w:cs="Times New Roman"/>
          <w:b/>
          <w:color w:val="000000"/>
          <w:kern w:val="24"/>
          <w:sz w:val="24"/>
        </w:rPr>
        <w:t>Supplement Table</w:t>
      </w:r>
    </w:p>
    <w:p w14:paraId="4E238278" w14:textId="77777777" w:rsidR="00154E7C" w:rsidRDefault="00000000">
      <w:pPr>
        <w:widowControl/>
        <w:kinsoku w:val="0"/>
        <w:overflowPunct w:val="0"/>
        <w:spacing w:line="480" w:lineRule="auto"/>
        <w:textAlignment w:val="baseline"/>
        <w:rPr>
          <w:rFonts w:ascii="Times New Roman" w:eastAsia="等线" w:hAnsi="Times New Roman" w:cs="Times New Roman"/>
          <w:color w:val="000000"/>
          <w:kern w:val="24"/>
          <w:sz w:val="24"/>
        </w:rPr>
      </w:pPr>
      <w:r>
        <w:rPr>
          <w:rFonts w:ascii="Times New Roman" w:eastAsia="等线" w:hAnsi="Times New Roman" w:cs="Times New Roman"/>
          <w:b/>
          <w:color w:val="000000"/>
          <w:kern w:val="24"/>
          <w:sz w:val="24"/>
        </w:rPr>
        <w:t xml:space="preserve">Table </w:t>
      </w:r>
      <w:r>
        <w:rPr>
          <w:rFonts w:ascii="Times New Roman" w:eastAsia="等线" w:hAnsi="Times New Roman" w:cs="Times New Roman" w:hint="eastAsia"/>
          <w:b/>
          <w:color w:val="000000"/>
          <w:kern w:val="24"/>
          <w:sz w:val="24"/>
        </w:rPr>
        <w:t>S</w:t>
      </w:r>
      <w:r>
        <w:rPr>
          <w:rFonts w:ascii="Times New Roman" w:eastAsia="等线" w:hAnsi="Times New Roman" w:cs="Times New Roman"/>
          <w:b/>
          <w:color w:val="000000"/>
          <w:kern w:val="24"/>
          <w:sz w:val="24"/>
        </w:rPr>
        <w:t>1.</w:t>
      </w:r>
      <w:r>
        <w:rPr>
          <w:rFonts w:ascii="Times New Roman" w:eastAsia="等线" w:hAnsi="Times New Roman" w:cs="Times New Roman"/>
          <w:color w:val="000000"/>
          <w:kern w:val="24"/>
          <w:sz w:val="24"/>
        </w:rPr>
        <w:t xml:space="preserve"> Cytotoxic effects of Se-</w:t>
      </w:r>
      <w:proofErr w:type="spellStart"/>
      <w:r>
        <w:rPr>
          <w:rFonts w:ascii="Times New Roman" w:eastAsia="等线" w:hAnsi="Times New Roman" w:cs="Times New Roman"/>
          <w:color w:val="000000"/>
          <w:kern w:val="24"/>
          <w:sz w:val="24"/>
        </w:rPr>
        <w:t>M</w:t>
      </w:r>
      <w:r>
        <w:rPr>
          <w:rFonts w:ascii="Times New Roman" w:eastAsia="等线" w:hAnsi="Times New Roman" w:cs="Times New Roman" w:hint="eastAsia"/>
          <w:color w:val="000000"/>
          <w:kern w:val="24"/>
          <w:sz w:val="24"/>
        </w:rPr>
        <w:t>n</w:t>
      </w:r>
      <w:r>
        <w:rPr>
          <w:rFonts w:ascii="Times New Roman" w:eastAsia="等线" w:hAnsi="Times New Roman" w:cs="Times New Roman"/>
          <w:color w:val="000000"/>
          <w:kern w:val="24"/>
          <w:sz w:val="24"/>
        </w:rPr>
        <w:t>P</w:t>
      </w:r>
      <w:proofErr w:type="spellEnd"/>
      <w:r>
        <w:rPr>
          <w:rFonts w:ascii="Times New Roman" w:eastAsia="等线" w:hAnsi="Times New Roman" w:cs="Times New Roman"/>
          <w:color w:val="000000"/>
          <w:kern w:val="24"/>
          <w:sz w:val="24"/>
        </w:rPr>
        <w:t xml:space="preserve"> and Oxaliplatin.</w:t>
      </w:r>
    </w:p>
    <w:tbl>
      <w:tblPr>
        <w:tblStyle w:val="-31"/>
        <w:tblW w:w="5000" w:type="pct"/>
        <w:tblInd w:w="0" w:type="dxa"/>
        <w:tblCellMar>
          <w:left w:w="108" w:type="dxa"/>
          <w:right w:w="108" w:type="dxa"/>
        </w:tblCellMar>
        <w:tblLook w:val="04A0" w:firstRow="1" w:lastRow="0" w:firstColumn="1" w:lastColumn="0" w:noHBand="0" w:noVBand="1"/>
      </w:tblPr>
      <w:tblGrid>
        <w:gridCol w:w="1763"/>
        <w:gridCol w:w="1797"/>
        <w:gridCol w:w="2763"/>
        <w:gridCol w:w="1983"/>
      </w:tblGrid>
      <w:tr w:rsidR="00154E7C" w14:paraId="4EC08902" w14:textId="77777777" w:rsidTr="00154E7C">
        <w:trPr>
          <w:cnfStyle w:val="100000000000" w:firstRow="1" w:lastRow="0" w:firstColumn="0" w:lastColumn="0" w:oddVBand="0" w:evenVBand="0" w:oddHBand="0" w:evenHBand="0" w:firstRowFirstColumn="0" w:firstRowLastColumn="0" w:lastRowFirstColumn="0" w:lastRowLastColumn="0"/>
          <w:trHeight w:val="496"/>
        </w:trPr>
        <w:tc>
          <w:tcPr>
            <w:cnfStyle w:val="001000000000" w:firstRow="0" w:lastRow="0" w:firstColumn="1" w:lastColumn="0" w:oddVBand="0" w:evenVBand="0" w:oddHBand="0" w:evenHBand="0" w:firstRowFirstColumn="0" w:firstRowLastColumn="0" w:lastRowFirstColumn="0" w:lastRowLastColumn="0"/>
            <w:tcW w:w="1061" w:type="pct"/>
            <w:vMerge w:val="restart"/>
            <w:tcBorders>
              <w:top w:val="single" w:sz="4" w:space="0" w:color="auto"/>
            </w:tcBorders>
            <w:vAlign w:val="center"/>
          </w:tcPr>
          <w:p w14:paraId="43512610" w14:textId="77777777" w:rsidR="00154E7C" w:rsidRDefault="00000000">
            <w:pPr>
              <w:widowControl/>
              <w:spacing w:line="480" w:lineRule="auto"/>
              <w:rPr>
                <w:rFonts w:ascii="Times New Roman" w:eastAsia="MS Mincho" w:hAnsi="Times New Roman" w:cs="Times New Roman"/>
                <w:b w:val="0"/>
                <w:bCs w:val="0"/>
                <w:color w:val="000000"/>
                <w:kern w:val="0"/>
                <w:sz w:val="24"/>
              </w:rPr>
            </w:pPr>
            <w:r>
              <w:rPr>
                <w:rFonts w:ascii="Times New Roman" w:eastAsia="MS Mincho" w:hAnsi="Times New Roman" w:cs="Times New Roman"/>
                <w:color w:val="000000"/>
                <w:kern w:val="0"/>
                <w:sz w:val="24"/>
              </w:rPr>
              <w:t>Material</w:t>
            </w:r>
          </w:p>
        </w:tc>
        <w:tc>
          <w:tcPr>
            <w:tcW w:w="3939" w:type="pct"/>
            <w:gridSpan w:val="3"/>
            <w:tcBorders>
              <w:top w:val="single" w:sz="4" w:space="0" w:color="auto"/>
              <w:bottom w:val="nil"/>
            </w:tcBorders>
            <w:vAlign w:val="center"/>
          </w:tcPr>
          <w:p w14:paraId="1B2DFFF1" w14:textId="77777777" w:rsidR="00154E7C" w:rsidRDefault="00000000">
            <w:pPr>
              <w:widowControl/>
              <w:spacing w:line="480" w:lineRule="auto"/>
              <w:cnfStyle w:val="100000000000" w:firstRow="1" w:lastRow="0" w:firstColumn="0" w:lastColumn="0" w:oddVBand="0" w:evenVBand="0" w:oddHBand="0" w:evenHBand="0" w:firstRowFirstColumn="0" w:firstRowLastColumn="0" w:lastRowFirstColumn="0" w:lastRowLastColumn="0"/>
              <w:rPr>
                <w:rFonts w:ascii="Times New Roman" w:eastAsia="MS Mincho" w:hAnsi="Times New Roman" w:cs="Times New Roman"/>
                <w:b w:val="0"/>
                <w:bCs w:val="0"/>
                <w:color w:val="000000"/>
                <w:kern w:val="0"/>
                <w:sz w:val="24"/>
              </w:rPr>
            </w:pPr>
            <w:r>
              <w:rPr>
                <w:rFonts w:ascii="Times New Roman" w:eastAsia="MS Mincho" w:hAnsi="Times New Roman" w:cs="Times New Roman"/>
                <w:color w:val="000000"/>
                <w:kern w:val="0"/>
                <w:sz w:val="24"/>
              </w:rPr>
              <w:t>IC50 (</w:t>
            </w:r>
            <w:proofErr w:type="spellStart"/>
            <w:r>
              <w:rPr>
                <w:rFonts w:ascii="Times New Roman" w:eastAsia="等线" w:hAnsi="Times New Roman" w:cs="Times New Roman"/>
                <w:color w:val="000000"/>
                <w:kern w:val="0"/>
                <w:sz w:val="24"/>
              </w:rPr>
              <w:t>μ</w:t>
            </w:r>
            <w:r>
              <w:rPr>
                <w:rFonts w:ascii="Times New Roman" w:eastAsia="MS Mincho" w:hAnsi="Times New Roman" w:cs="Times New Roman"/>
                <w:color w:val="000000"/>
                <w:kern w:val="0"/>
                <w:sz w:val="24"/>
              </w:rPr>
              <w:t>g</w:t>
            </w:r>
            <w:proofErr w:type="spellEnd"/>
            <w:r>
              <w:rPr>
                <w:rFonts w:ascii="Times New Roman" w:eastAsia="MS Mincho" w:hAnsi="Times New Roman" w:cs="Times New Roman"/>
                <w:color w:val="000000"/>
                <w:kern w:val="0"/>
                <w:sz w:val="24"/>
              </w:rPr>
              <w:t>/mL)</w:t>
            </w:r>
          </w:p>
        </w:tc>
      </w:tr>
      <w:tr w:rsidR="00154E7C" w14:paraId="6E57B149" w14:textId="77777777" w:rsidTr="00154E7C">
        <w:trPr>
          <w:trHeight w:val="282"/>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auto"/>
              <w:left w:val="nil"/>
              <w:bottom w:val="single" w:sz="8" w:space="0" w:color="A5A5A5"/>
              <w:right w:val="nil"/>
            </w:tcBorders>
            <w:vAlign w:val="center"/>
          </w:tcPr>
          <w:p w14:paraId="4B54DE01" w14:textId="77777777" w:rsidR="00154E7C" w:rsidRDefault="00154E7C">
            <w:pPr>
              <w:widowControl/>
              <w:spacing w:line="480" w:lineRule="auto"/>
              <w:rPr>
                <w:rFonts w:ascii="Times New Roman" w:eastAsia="MS Mincho" w:hAnsi="Times New Roman" w:cs="Times New Roman"/>
                <w:b w:val="0"/>
                <w:bCs w:val="0"/>
                <w:color w:val="000000"/>
                <w:kern w:val="0"/>
                <w:sz w:val="24"/>
              </w:rPr>
            </w:pPr>
          </w:p>
        </w:tc>
        <w:tc>
          <w:tcPr>
            <w:tcW w:w="1082" w:type="pct"/>
            <w:tcBorders>
              <w:top w:val="single" w:sz="4" w:space="0" w:color="auto"/>
              <w:left w:val="nil"/>
              <w:bottom w:val="single" w:sz="4" w:space="0" w:color="auto"/>
              <w:right w:val="nil"/>
            </w:tcBorders>
            <w:vAlign w:val="center"/>
          </w:tcPr>
          <w:p w14:paraId="11D5A2C2" w14:textId="77777777" w:rsidR="00154E7C" w:rsidRDefault="00000000">
            <w:pPr>
              <w:widowControl/>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4"/>
              </w:rPr>
            </w:pPr>
            <w:r>
              <w:rPr>
                <w:rFonts w:ascii="Times New Roman" w:eastAsia="等线" w:hAnsi="Times New Roman" w:cs="Times New Roman" w:hint="eastAsia"/>
                <w:color w:val="000000"/>
                <w:kern w:val="0"/>
                <w:sz w:val="24"/>
              </w:rPr>
              <w:t>H</w:t>
            </w:r>
            <w:r>
              <w:rPr>
                <w:rFonts w:ascii="Times New Roman" w:eastAsia="等线" w:hAnsi="Times New Roman" w:cs="Times New Roman"/>
                <w:color w:val="000000"/>
                <w:kern w:val="0"/>
                <w:sz w:val="24"/>
              </w:rPr>
              <w:t>CT116</w:t>
            </w:r>
          </w:p>
        </w:tc>
        <w:tc>
          <w:tcPr>
            <w:tcW w:w="1663" w:type="pct"/>
            <w:tcBorders>
              <w:top w:val="single" w:sz="4" w:space="0" w:color="auto"/>
              <w:left w:val="nil"/>
              <w:bottom w:val="single" w:sz="4" w:space="0" w:color="auto"/>
              <w:right w:val="nil"/>
            </w:tcBorders>
            <w:vAlign w:val="center"/>
          </w:tcPr>
          <w:p w14:paraId="4BD1B083" w14:textId="77777777" w:rsidR="00154E7C" w:rsidRDefault="00000000">
            <w:pPr>
              <w:widowControl/>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000000"/>
                <w:kern w:val="0"/>
                <w:sz w:val="24"/>
              </w:rPr>
            </w:pPr>
            <w:r>
              <w:rPr>
                <w:rFonts w:ascii="Times New Roman" w:eastAsia="等线" w:hAnsi="Times New Roman" w:cs="Times New Roman" w:hint="eastAsia"/>
                <w:color w:val="000000"/>
                <w:kern w:val="0"/>
                <w:sz w:val="24"/>
              </w:rPr>
              <w:t>H</w:t>
            </w:r>
            <w:r>
              <w:rPr>
                <w:rFonts w:ascii="Times New Roman" w:eastAsia="等线" w:hAnsi="Times New Roman" w:cs="Times New Roman"/>
                <w:color w:val="000000"/>
                <w:kern w:val="0"/>
                <w:sz w:val="24"/>
              </w:rPr>
              <w:t>CT116/DR</w:t>
            </w:r>
          </w:p>
        </w:tc>
        <w:tc>
          <w:tcPr>
            <w:tcW w:w="1194" w:type="pct"/>
            <w:tcBorders>
              <w:top w:val="single" w:sz="4" w:space="0" w:color="auto"/>
              <w:left w:val="nil"/>
              <w:bottom w:val="single" w:sz="4" w:space="0" w:color="auto"/>
              <w:right w:val="nil"/>
            </w:tcBorders>
            <w:vAlign w:val="center"/>
          </w:tcPr>
          <w:p w14:paraId="466D68BB" w14:textId="77777777" w:rsidR="00154E7C" w:rsidRDefault="00000000">
            <w:pPr>
              <w:widowControl/>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000000"/>
                <w:kern w:val="0"/>
                <w:sz w:val="24"/>
              </w:rPr>
            </w:pPr>
            <w:r>
              <w:rPr>
                <w:rFonts w:ascii="Times New Roman" w:eastAsia="MS Mincho" w:hAnsi="Times New Roman" w:cs="Times New Roman"/>
                <w:color w:val="000000"/>
                <w:kern w:val="0"/>
                <w:sz w:val="24"/>
              </w:rPr>
              <w:t>RI</w:t>
            </w:r>
          </w:p>
        </w:tc>
      </w:tr>
      <w:tr w:rsidR="00154E7C" w14:paraId="205330A2" w14:textId="77777777" w:rsidTr="00154E7C">
        <w:trPr>
          <w:trHeight w:val="601"/>
        </w:trPr>
        <w:tc>
          <w:tcPr>
            <w:cnfStyle w:val="001000000000" w:firstRow="0" w:lastRow="0" w:firstColumn="1" w:lastColumn="0" w:oddVBand="0" w:evenVBand="0" w:oddHBand="0" w:evenHBand="0" w:firstRowFirstColumn="0" w:firstRowLastColumn="0" w:lastRowFirstColumn="0" w:lastRowLastColumn="0"/>
            <w:tcW w:w="1061" w:type="pct"/>
            <w:tcBorders>
              <w:top w:val="single" w:sz="4" w:space="0" w:color="auto"/>
              <w:left w:val="nil"/>
              <w:bottom w:val="nil"/>
              <w:right w:val="nil"/>
            </w:tcBorders>
            <w:vAlign w:val="center"/>
          </w:tcPr>
          <w:p w14:paraId="3539382E" w14:textId="77777777" w:rsidR="00154E7C" w:rsidRDefault="00000000">
            <w:pPr>
              <w:widowControl/>
              <w:spacing w:line="480" w:lineRule="auto"/>
              <w:rPr>
                <w:rFonts w:ascii="Times New Roman" w:eastAsia="MS Mincho" w:hAnsi="Times New Roman" w:cs="Times New Roman"/>
                <w:b w:val="0"/>
                <w:bCs w:val="0"/>
                <w:color w:val="000000"/>
                <w:kern w:val="0"/>
                <w:sz w:val="24"/>
              </w:rPr>
            </w:pPr>
            <w:r>
              <w:rPr>
                <w:rFonts w:ascii="Times New Roman" w:eastAsia="MS Mincho" w:hAnsi="Times New Roman" w:cs="Times New Roman"/>
                <w:color w:val="000000"/>
                <w:kern w:val="0"/>
                <w:sz w:val="24"/>
              </w:rPr>
              <w:t>Se-</w:t>
            </w:r>
            <w:proofErr w:type="spellStart"/>
            <w:r>
              <w:rPr>
                <w:rFonts w:ascii="Times New Roman" w:eastAsia="MS Mincho" w:hAnsi="Times New Roman" w:cs="Times New Roman"/>
                <w:color w:val="000000"/>
                <w:kern w:val="0"/>
                <w:sz w:val="24"/>
              </w:rPr>
              <w:t>MnP</w:t>
            </w:r>
            <w:proofErr w:type="spellEnd"/>
            <w:r>
              <w:rPr>
                <w:rFonts w:ascii="Times New Roman" w:eastAsia="MS Mincho" w:hAnsi="Times New Roman" w:cs="Times New Roman"/>
                <w:color w:val="000000"/>
                <w:kern w:val="0"/>
                <w:sz w:val="24"/>
              </w:rPr>
              <w:t xml:space="preserve"> (48 h)</w:t>
            </w:r>
          </w:p>
        </w:tc>
        <w:tc>
          <w:tcPr>
            <w:tcW w:w="1082" w:type="pct"/>
            <w:tcBorders>
              <w:top w:val="single" w:sz="4" w:space="0" w:color="auto"/>
              <w:left w:val="nil"/>
              <w:bottom w:val="nil"/>
              <w:right w:val="nil"/>
            </w:tcBorders>
            <w:vAlign w:val="center"/>
          </w:tcPr>
          <w:p w14:paraId="6F2CFD85" w14:textId="77777777" w:rsidR="00154E7C" w:rsidRDefault="00000000">
            <w:pPr>
              <w:widowControl/>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000000"/>
                <w:kern w:val="0"/>
                <w:sz w:val="24"/>
              </w:rPr>
            </w:pPr>
            <w:r>
              <w:rPr>
                <w:rFonts w:ascii="Times New Roman" w:eastAsia="MS Mincho" w:hAnsi="Times New Roman" w:cs="Times New Roman"/>
                <w:color w:val="000000"/>
                <w:kern w:val="0"/>
                <w:sz w:val="24"/>
              </w:rPr>
              <w:t>37.35</w:t>
            </w:r>
          </w:p>
        </w:tc>
        <w:tc>
          <w:tcPr>
            <w:tcW w:w="1663" w:type="pct"/>
            <w:tcBorders>
              <w:top w:val="single" w:sz="4" w:space="0" w:color="auto"/>
              <w:left w:val="nil"/>
              <w:bottom w:val="nil"/>
              <w:right w:val="nil"/>
            </w:tcBorders>
            <w:vAlign w:val="center"/>
          </w:tcPr>
          <w:p w14:paraId="2C06DC17" w14:textId="77777777" w:rsidR="00154E7C" w:rsidRDefault="00000000">
            <w:pPr>
              <w:widowControl/>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000000"/>
                <w:kern w:val="0"/>
                <w:sz w:val="24"/>
              </w:rPr>
            </w:pPr>
            <w:r>
              <w:rPr>
                <w:rFonts w:ascii="Times New Roman" w:eastAsia="MS Mincho" w:hAnsi="Times New Roman" w:cs="Times New Roman"/>
                <w:color w:val="000000"/>
                <w:kern w:val="0"/>
                <w:sz w:val="24"/>
              </w:rPr>
              <w:t>24.09</w:t>
            </w:r>
          </w:p>
        </w:tc>
        <w:tc>
          <w:tcPr>
            <w:tcW w:w="1194" w:type="pct"/>
            <w:tcBorders>
              <w:top w:val="single" w:sz="4" w:space="0" w:color="auto"/>
              <w:left w:val="nil"/>
              <w:bottom w:val="nil"/>
              <w:right w:val="nil"/>
            </w:tcBorders>
            <w:vAlign w:val="center"/>
          </w:tcPr>
          <w:p w14:paraId="1E36331A" w14:textId="77777777" w:rsidR="00154E7C" w:rsidRDefault="00000000">
            <w:pPr>
              <w:widowControl/>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4"/>
              </w:rPr>
            </w:pPr>
            <w:r>
              <w:rPr>
                <w:rFonts w:ascii="Times New Roman" w:eastAsia="等线" w:hAnsi="Times New Roman" w:cs="Times New Roman" w:hint="eastAsia"/>
                <w:color w:val="000000"/>
                <w:kern w:val="0"/>
                <w:sz w:val="24"/>
              </w:rPr>
              <w:t>0</w:t>
            </w:r>
            <w:r>
              <w:rPr>
                <w:rFonts w:ascii="Times New Roman" w:eastAsia="等线" w:hAnsi="Times New Roman" w:cs="Times New Roman"/>
                <w:color w:val="000000"/>
                <w:kern w:val="0"/>
                <w:sz w:val="24"/>
              </w:rPr>
              <w:t>.64</w:t>
            </w:r>
          </w:p>
        </w:tc>
      </w:tr>
      <w:tr w:rsidR="00154E7C" w14:paraId="053E1AA1" w14:textId="77777777" w:rsidTr="00154E7C">
        <w:trPr>
          <w:trHeight w:val="651"/>
        </w:trPr>
        <w:tc>
          <w:tcPr>
            <w:cnfStyle w:val="001000000000" w:firstRow="0" w:lastRow="0" w:firstColumn="1" w:lastColumn="0" w:oddVBand="0" w:evenVBand="0" w:oddHBand="0" w:evenHBand="0" w:firstRowFirstColumn="0" w:firstRowLastColumn="0" w:lastRowFirstColumn="0" w:lastRowLastColumn="0"/>
            <w:tcW w:w="1061" w:type="pct"/>
            <w:tcBorders>
              <w:top w:val="nil"/>
              <w:left w:val="nil"/>
              <w:bottom w:val="single" w:sz="4" w:space="0" w:color="auto"/>
              <w:right w:val="nil"/>
            </w:tcBorders>
            <w:vAlign w:val="center"/>
          </w:tcPr>
          <w:p w14:paraId="327D7591" w14:textId="77777777" w:rsidR="00154E7C" w:rsidRDefault="00000000">
            <w:pPr>
              <w:widowControl/>
              <w:spacing w:line="480" w:lineRule="auto"/>
              <w:rPr>
                <w:rFonts w:ascii="Times New Roman" w:eastAsia="MS Mincho" w:hAnsi="Times New Roman" w:cs="Times New Roman"/>
                <w:b w:val="0"/>
                <w:bCs w:val="0"/>
                <w:color w:val="000000"/>
                <w:kern w:val="0"/>
                <w:sz w:val="24"/>
              </w:rPr>
            </w:pPr>
            <w:r>
              <w:rPr>
                <w:rFonts w:ascii="Times New Roman" w:eastAsia="MS Mincho" w:hAnsi="Times New Roman" w:cs="Times New Roman"/>
                <w:color w:val="000000"/>
                <w:kern w:val="0"/>
                <w:sz w:val="24"/>
              </w:rPr>
              <w:t>OX (48 h)</w:t>
            </w:r>
          </w:p>
        </w:tc>
        <w:tc>
          <w:tcPr>
            <w:tcW w:w="1082" w:type="pct"/>
            <w:tcBorders>
              <w:top w:val="nil"/>
              <w:left w:val="nil"/>
              <w:bottom w:val="single" w:sz="4" w:space="0" w:color="auto"/>
              <w:right w:val="nil"/>
            </w:tcBorders>
            <w:vAlign w:val="center"/>
          </w:tcPr>
          <w:p w14:paraId="121416CB" w14:textId="77777777" w:rsidR="00154E7C" w:rsidRDefault="00000000">
            <w:pPr>
              <w:widowControl/>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000000"/>
                <w:kern w:val="0"/>
                <w:sz w:val="24"/>
              </w:rPr>
            </w:pPr>
            <w:r>
              <w:rPr>
                <w:rFonts w:ascii="Times New Roman" w:eastAsia="MS Mincho" w:hAnsi="Times New Roman" w:cs="Times New Roman"/>
                <w:color w:val="000000"/>
                <w:kern w:val="0"/>
                <w:sz w:val="24"/>
              </w:rPr>
              <w:t>8.63</w:t>
            </w:r>
          </w:p>
        </w:tc>
        <w:tc>
          <w:tcPr>
            <w:tcW w:w="1663" w:type="pct"/>
            <w:tcBorders>
              <w:top w:val="nil"/>
              <w:left w:val="nil"/>
              <w:bottom w:val="single" w:sz="4" w:space="0" w:color="auto"/>
              <w:right w:val="nil"/>
            </w:tcBorders>
            <w:vAlign w:val="center"/>
          </w:tcPr>
          <w:p w14:paraId="27BB186E" w14:textId="77777777" w:rsidR="00154E7C" w:rsidRDefault="00000000">
            <w:pPr>
              <w:widowControl/>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color w:val="000000"/>
                <w:kern w:val="0"/>
                <w:sz w:val="24"/>
              </w:rPr>
            </w:pPr>
            <w:r>
              <w:rPr>
                <w:rFonts w:ascii="Times New Roman" w:eastAsia="MS Mincho" w:hAnsi="Times New Roman" w:cs="Times New Roman"/>
                <w:color w:val="000000"/>
                <w:kern w:val="0"/>
                <w:sz w:val="24"/>
              </w:rPr>
              <w:t>42.34</w:t>
            </w:r>
          </w:p>
        </w:tc>
        <w:tc>
          <w:tcPr>
            <w:tcW w:w="1194" w:type="pct"/>
            <w:tcBorders>
              <w:top w:val="nil"/>
              <w:left w:val="nil"/>
              <w:bottom w:val="single" w:sz="4" w:space="0" w:color="auto"/>
              <w:right w:val="nil"/>
            </w:tcBorders>
            <w:vAlign w:val="center"/>
          </w:tcPr>
          <w:p w14:paraId="4FA4EDA8" w14:textId="77777777" w:rsidR="00154E7C" w:rsidRDefault="00000000">
            <w:pPr>
              <w:widowControl/>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4"/>
              </w:rPr>
            </w:pPr>
            <w:r>
              <w:rPr>
                <w:rFonts w:ascii="Times New Roman" w:eastAsia="等线" w:hAnsi="Times New Roman" w:cs="Times New Roman" w:hint="eastAsia"/>
                <w:color w:val="000000"/>
                <w:kern w:val="0"/>
                <w:sz w:val="24"/>
              </w:rPr>
              <w:t>4</w:t>
            </w:r>
            <w:r>
              <w:rPr>
                <w:rFonts w:ascii="Times New Roman" w:eastAsia="等线" w:hAnsi="Times New Roman" w:cs="Times New Roman"/>
                <w:color w:val="000000"/>
                <w:kern w:val="0"/>
                <w:sz w:val="24"/>
              </w:rPr>
              <w:t>.90</w:t>
            </w:r>
          </w:p>
        </w:tc>
      </w:tr>
    </w:tbl>
    <w:p w14:paraId="3A9048BD" w14:textId="77777777" w:rsidR="00154E7C" w:rsidRDefault="00000000">
      <w:pPr>
        <w:widowControl/>
        <w:kinsoku w:val="0"/>
        <w:overflowPunct w:val="0"/>
        <w:spacing w:line="480" w:lineRule="auto"/>
        <w:textAlignment w:val="baseline"/>
        <w:rPr>
          <w:rFonts w:ascii="Times New Roman" w:eastAsia="宋体" w:hAnsi="Times New Roman" w:cs="Times New Roman"/>
          <w:kern w:val="0"/>
          <w:sz w:val="24"/>
        </w:rPr>
      </w:pPr>
      <w:r>
        <w:rPr>
          <w:rFonts w:ascii="Times New Roman" w:eastAsia="等线" w:hAnsi="Times New Roman" w:cs="Times New Roman"/>
          <w:color w:val="000000"/>
          <w:kern w:val="24"/>
          <w:sz w:val="24"/>
        </w:rPr>
        <w:t>RI (resistance index): the ratio of IC50 (HCT116/DR) against IC50 (HCT116).</w:t>
      </w:r>
    </w:p>
    <w:p w14:paraId="4C43419E" w14:textId="77777777" w:rsidR="00154E7C" w:rsidRDefault="00154E7C">
      <w:pPr>
        <w:spacing w:line="480" w:lineRule="auto"/>
      </w:pPr>
    </w:p>
    <w:p w14:paraId="4B3924C3" w14:textId="77777777" w:rsidR="00154E7C" w:rsidRDefault="00154E7C"/>
    <w:sectPr w:rsidR="00154E7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348D10" w14:textId="77777777" w:rsidR="00746A3F" w:rsidRDefault="00746A3F" w:rsidP="00462C42">
      <w:r>
        <w:separator/>
      </w:r>
    </w:p>
  </w:endnote>
  <w:endnote w:type="continuationSeparator" w:id="0">
    <w:p w14:paraId="1BAE7DAE" w14:textId="77777777" w:rsidR="00746A3F" w:rsidRDefault="00746A3F" w:rsidP="00462C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微软雅黑">
    <w:panose1 w:val="020B0503020204020204"/>
    <w:charset w:val="86"/>
    <w:family w:val="swiss"/>
    <w:pitch w:val="variable"/>
    <w:sig w:usb0="80000287" w:usb1="2ACF3C50" w:usb2="00000016" w:usb3="00000000" w:csb0="0004001F"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6D2FCF" w14:textId="77777777" w:rsidR="00746A3F" w:rsidRDefault="00746A3F" w:rsidP="00462C42">
      <w:r>
        <w:separator/>
      </w:r>
    </w:p>
  </w:footnote>
  <w:footnote w:type="continuationSeparator" w:id="0">
    <w:p w14:paraId="3F268B15" w14:textId="77777777" w:rsidR="00746A3F" w:rsidRDefault="00746A3F" w:rsidP="00462C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GRlNmRjMzBjMjc2OWE2OGYzMjUxMGRiOTk5NDEzNmYifQ=="/>
  </w:docVars>
  <w:rsids>
    <w:rsidRoot w:val="00CA7C93"/>
    <w:rsid w:val="00154E7C"/>
    <w:rsid w:val="001B3F94"/>
    <w:rsid w:val="00441E74"/>
    <w:rsid w:val="00462C42"/>
    <w:rsid w:val="0059051E"/>
    <w:rsid w:val="00692D31"/>
    <w:rsid w:val="00746A3F"/>
    <w:rsid w:val="008274AF"/>
    <w:rsid w:val="00896034"/>
    <w:rsid w:val="008E78EA"/>
    <w:rsid w:val="009817CE"/>
    <w:rsid w:val="009E3D6D"/>
    <w:rsid w:val="00B26A30"/>
    <w:rsid w:val="00C16D05"/>
    <w:rsid w:val="00C313C6"/>
    <w:rsid w:val="00C85101"/>
    <w:rsid w:val="00CA7C93"/>
    <w:rsid w:val="00CD008B"/>
    <w:rsid w:val="00D60767"/>
    <w:rsid w:val="00E37F26"/>
    <w:rsid w:val="00E4464D"/>
    <w:rsid w:val="00E816F3"/>
    <w:rsid w:val="00EF5110"/>
    <w:rsid w:val="00F06502"/>
    <w:rsid w:val="00F365F4"/>
    <w:rsid w:val="00FA5BF4"/>
    <w:rsid w:val="00FB459C"/>
    <w:rsid w:val="00FC6EA5"/>
    <w:rsid w:val="01C070EF"/>
    <w:rsid w:val="03631D1E"/>
    <w:rsid w:val="05344197"/>
    <w:rsid w:val="07760BAA"/>
    <w:rsid w:val="08585DDE"/>
    <w:rsid w:val="08F12939"/>
    <w:rsid w:val="0A852B6F"/>
    <w:rsid w:val="10CA3499"/>
    <w:rsid w:val="1438443B"/>
    <w:rsid w:val="19913DC1"/>
    <w:rsid w:val="1D1418DB"/>
    <w:rsid w:val="1D1B764B"/>
    <w:rsid w:val="2A8A52DA"/>
    <w:rsid w:val="2B70391F"/>
    <w:rsid w:val="301E3F50"/>
    <w:rsid w:val="32173A82"/>
    <w:rsid w:val="366F752F"/>
    <w:rsid w:val="3F065125"/>
    <w:rsid w:val="429576C9"/>
    <w:rsid w:val="48DA5C15"/>
    <w:rsid w:val="506640F7"/>
    <w:rsid w:val="6091245E"/>
    <w:rsid w:val="69660078"/>
    <w:rsid w:val="6B790D2A"/>
    <w:rsid w:val="6D475637"/>
    <w:rsid w:val="6E992F04"/>
    <w:rsid w:val="6EF74DEF"/>
    <w:rsid w:val="76AC011A"/>
    <w:rsid w:val="789A30DC"/>
    <w:rsid w:val="7C9A45E8"/>
    <w:rsid w:val="7FF27D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3C5938E4"/>
  <w15:docId w15:val="{79351B9E-E841-41D2-A7F6-F7B064C47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qFormat/>
    <w:rPr>
      <w:sz w:val="18"/>
      <w:szCs w:val="18"/>
    </w:rPr>
  </w:style>
  <w:style w:type="table" w:customStyle="1" w:styleId="-31">
    <w:name w:val="浅色底纹 - 强调文字颜色 31"/>
    <w:qFormat/>
    <w:rPr>
      <w:rFonts w:eastAsia="Times New Roman"/>
      <w:color w:val="7B7B7B"/>
    </w:rPr>
    <w:tblPr>
      <w:tblBorders>
        <w:top w:val="single" w:sz="8" w:space="0" w:color="A5A5A5"/>
        <w:bottom w:val="single" w:sz="8" w:space="0" w:color="A5A5A5"/>
      </w:tblBorders>
      <w:tblCellMar>
        <w:top w:w="0" w:type="dxa"/>
        <w:left w:w="0" w:type="dxa"/>
        <w:bottom w:w="0" w:type="dxa"/>
        <w:right w:w="0" w:type="dxa"/>
      </w:tblCellMar>
    </w:tblPr>
    <w:tblStylePr w:type="firstRow">
      <w:rPr>
        <w:rFonts w:ascii="Times New Roman" w:hAnsi="Times New Roman" w:cs="Times New Roman" w:hint="default"/>
        <w:b/>
        <w:bCs/>
      </w:rPr>
      <w:tblPr/>
      <w:tcPr>
        <w:tcBorders>
          <w:top w:val="single" w:sz="8" w:space="0" w:color="A5A5A5"/>
          <w:left w:val="nil"/>
          <w:bottom w:val="single" w:sz="8" w:space="0" w:color="A5A5A5"/>
          <w:right w:val="nil"/>
          <w:insideH w:val="nil"/>
          <w:insideV w:val="nil"/>
        </w:tcBorders>
      </w:tcPr>
    </w:tblStylePr>
    <w:tblStylePr w:type="lastRow">
      <w:rPr>
        <w:rFonts w:ascii="Times New Roman" w:hAnsi="Times New Roman" w:cs="Times New Roman" w:hint="default"/>
        <w:b/>
        <w:bCs/>
      </w:rPr>
      <w:tblPr/>
      <w:tcPr>
        <w:tcBorders>
          <w:top w:val="single" w:sz="8" w:space="0" w:color="A5A5A5"/>
          <w:left w:val="nil"/>
          <w:bottom w:val="single" w:sz="8" w:space="0" w:color="A5A5A5"/>
          <w:right w:val="nil"/>
          <w:insideH w:val="nil"/>
          <w:insideV w:val="nil"/>
        </w:tcBorders>
      </w:tcPr>
    </w:tblStylePr>
    <w:tblStylePr w:type="firstCol">
      <w:rPr>
        <w:rFonts w:ascii="Times New Roman" w:hAnsi="Times New Roman" w:cs="Times New Roman" w:hint="default"/>
        <w:b/>
        <w:bCs/>
      </w:rPr>
    </w:tblStylePr>
    <w:tblStylePr w:type="lastCol">
      <w:rPr>
        <w:rFonts w:ascii="Times New Roman" w:hAnsi="Times New Roman" w:cs="Times New Roman" w:hint="default"/>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chart" Target="charts/chart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tif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D:\a&#30005;&#33041;&#26700;&#38754;\&#25968;&#25454;\&#26032;%20&#36733;&#33647;\2022-06-28\&#26032;&#24314;%20XLS%20&#24037;&#20316;&#3492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sz="1600" b="1">
                <a:latin typeface="Times New Roman" panose="02020603050405020304" charset="0"/>
                <a:cs typeface="Times New Roman" panose="02020603050405020304" charset="0"/>
              </a:rPr>
              <a:t>OX-H</a:t>
            </a:r>
            <a:r>
              <a:rPr lang="en-US" altLang="zh-CN" sz="1600" b="1" baseline="-25000">
                <a:solidFill>
                  <a:schemeClr val="tx1">
                    <a:lumMod val="65000"/>
                    <a:lumOff val="35000"/>
                  </a:schemeClr>
                </a:solidFill>
                <a:uFillTx/>
                <a:latin typeface="Times New Roman" panose="02020603050405020304" charset="0"/>
                <a:cs typeface="Times New Roman" panose="02020603050405020304" charset="0"/>
              </a:rPr>
              <a:t>2</a:t>
            </a:r>
            <a:r>
              <a:rPr lang="en-US" altLang="zh-CN" sz="1600" b="1">
                <a:latin typeface="Times New Roman" panose="02020603050405020304" charset="0"/>
                <a:cs typeface="Times New Roman" panose="02020603050405020304" charset="0"/>
              </a:rPr>
              <a:t>O</a:t>
            </a:r>
          </a:p>
        </c:rich>
      </c:tx>
      <c:overlay val="0"/>
      <c:spPr>
        <a:noFill/>
        <a:ln>
          <a:noFill/>
        </a:ln>
        <a:effectLst/>
      </c:spPr>
    </c:title>
    <c:autoTitleDeleted val="0"/>
    <c:plotArea>
      <c:layout/>
      <c:scatterChart>
        <c:scatterStyle val="smoothMarker"/>
        <c:varyColors val="0"/>
        <c:ser>
          <c:idx val="0"/>
          <c:order val="0"/>
          <c:spPr>
            <a:ln w="19050" cap="rnd" cmpd="sng" algn="ctr">
              <a:solidFill>
                <a:schemeClr val="accent1"/>
              </a:solidFill>
              <a:prstDash val="solid"/>
              <a:round/>
            </a:ln>
            <a:effectLst/>
          </c:spPr>
          <c:marker>
            <c:symbol val="circle"/>
            <c:size val="5"/>
            <c:spPr>
              <a:solidFill>
                <a:schemeClr val="accent1"/>
              </a:solidFill>
              <a:ln w="9525" cap="flat" cmpd="sng" algn="ctr">
                <a:solidFill>
                  <a:schemeClr val="accent1"/>
                </a:solidFill>
                <a:prstDash val="solid"/>
                <a:round/>
              </a:ln>
              <a:effectLst/>
            </c:spPr>
          </c:marker>
          <c:trendline>
            <c:spPr>
              <a:ln w="19050" cap="rnd" cmpd="sng" algn="ctr">
                <a:solidFill>
                  <a:schemeClr val="accent1"/>
                </a:solidFill>
                <a:prstDash val="sysDot"/>
                <a:round/>
              </a:ln>
              <a:effectLst/>
            </c:spPr>
            <c:trendlineType val="linear"/>
            <c:dispRSqr val="0"/>
            <c:dispEq val="0"/>
          </c:trendline>
          <c:trendline>
            <c:spPr>
              <a:ln w="19050" cap="rnd" cmpd="sng" algn="ctr">
                <a:solidFill>
                  <a:schemeClr val="accent1"/>
                </a:solidFill>
                <a:prstDash val="sysDot"/>
                <a:round/>
              </a:ln>
              <a:effectLst/>
            </c:spPr>
            <c:trendlineType val="linear"/>
            <c:intercept val="0"/>
            <c:dispRSqr val="1"/>
            <c:dispEq val="1"/>
            <c:trendlineLbl>
              <c:layout>
                <c:manualLayout>
                  <c:x val="5.1388888888888901E-2"/>
                  <c:y val="0.23842592592592601"/>
                </c:manualLayout>
              </c:layout>
              <c:tx>
                <c:rich>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r>
                      <a:rPr lang="en-US" sz="1600" b="1">
                        <a:latin typeface="Times New Roman" panose="02020603050405020304" charset="0"/>
                        <a:cs typeface="Times New Roman" panose="02020603050405020304" charset="0"/>
                      </a:rPr>
                      <a:t>y = 4.2259x</a:t>
                    </a:r>
                    <a:br>
                      <a:rPr lang="en-US" sz="1600" b="1">
                        <a:latin typeface="Times New Roman" panose="02020603050405020304" charset="0"/>
                        <a:cs typeface="Times New Roman" panose="02020603050405020304" charset="0"/>
                      </a:rPr>
                    </a:br>
                    <a:r>
                      <a:rPr lang="en-US" sz="1600" b="1">
                        <a:latin typeface="Times New Roman" panose="02020603050405020304" charset="0"/>
                        <a:cs typeface="Times New Roman" panose="02020603050405020304" charset="0"/>
                      </a:rPr>
                      <a:t>R</a:t>
                    </a:r>
                    <a:r>
                      <a:rPr lang="en-US" sz="1600" b="1" baseline="35000">
                        <a:latin typeface="Times New Roman" panose="02020603050405020304" charset="0"/>
                        <a:cs typeface="Times New Roman" panose="02020603050405020304" charset="0"/>
                      </a:rPr>
                      <a:t>2</a:t>
                    </a:r>
                    <a:r>
                      <a:rPr lang="en-US" sz="1600" b="1">
                        <a:latin typeface="Times New Roman" panose="02020603050405020304" charset="0"/>
                        <a:cs typeface="Times New Roman" panose="02020603050405020304" charset="0"/>
                      </a:rPr>
                      <a:t> = 0.9996</a:t>
                    </a:r>
                  </a:p>
                </c:rich>
              </c:tx>
              <c:numFmt formatCode="General" sourceLinked="0"/>
              <c:spPr>
                <a:noFill/>
                <a:ln>
                  <a:noFill/>
                </a:ln>
                <a:effectLst/>
              </c:spPr>
            </c:trendlineLbl>
          </c:trendline>
          <c:xVal>
            <c:numRef>
              <c:f>'[新建 XLS 工作表.xls]Sheet1'!$E$3:$E$9</c:f>
              <c:numCache>
                <c:formatCode>General</c:formatCode>
                <c:ptCount val="7"/>
                <c:pt idx="0">
                  <c:v>1E-3</c:v>
                </c:pt>
                <c:pt idx="1">
                  <c:v>2E-3</c:v>
                </c:pt>
                <c:pt idx="2">
                  <c:v>5.0000000000000001E-3</c:v>
                </c:pt>
                <c:pt idx="3">
                  <c:v>0.01</c:v>
                </c:pt>
                <c:pt idx="4">
                  <c:v>2.5000000000000001E-2</c:v>
                </c:pt>
                <c:pt idx="5">
                  <c:v>0.1</c:v>
                </c:pt>
                <c:pt idx="6">
                  <c:v>0.5</c:v>
                </c:pt>
              </c:numCache>
            </c:numRef>
          </c:xVal>
          <c:yVal>
            <c:numRef>
              <c:f>'[新建 XLS 工作表.xls]Sheet1'!$F$3:$F$9</c:f>
              <c:numCache>
                <c:formatCode>General</c:formatCode>
                <c:ptCount val="7"/>
                <c:pt idx="0">
                  <c:v>4.0000000000000001E-3</c:v>
                </c:pt>
                <c:pt idx="1">
                  <c:v>8.9999999999999993E-3</c:v>
                </c:pt>
                <c:pt idx="2">
                  <c:v>2.7E-2</c:v>
                </c:pt>
                <c:pt idx="3">
                  <c:v>5.3999999999999999E-2</c:v>
                </c:pt>
                <c:pt idx="4">
                  <c:v>0.14099999999999999</c:v>
                </c:pt>
                <c:pt idx="5">
                  <c:v>0.432</c:v>
                </c:pt>
                <c:pt idx="6">
                  <c:v>2.109</c:v>
                </c:pt>
              </c:numCache>
            </c:numRef>
          </c:yVal>
          <c:smooth val="1"/>
          <c:extLst>
            <c:ext xmlns:c16="http://schemas.microsoft.com/office/drawing/2014/chart" uri="{C3380CC4-5D6E-409C-BE32-E72D297353CC}">
              <c16:uniqueId val="{00000002-8AC8-4D0A-A47A-87E569F3B8F9}"/>
            </c:ext>
          </c:extLst>
        </c:ser>
        <c:dLbls>
          <c:showLegendKey val="0"/>
          <c:showVal val="0"/>
          <c:showCatName val="0"/>
          <c:showSerName val="0"/>
          <c:showPercent val="0"/>
          <c:showBubbleSize val="0"/>
        </c:dLbls>
        <c:axId val="345572480"/>
        <c:axId val="346034560"/>
      </c:scatterChart>
      <c:valAx>
        <c:axId val="345572480"/>
        <c:scaling>
          <c:orientation val="minMax"/>
        </c:scaling>
        <c:delete val="0"/>
        <c:axPos val="b"/>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346034560"/>
        <c:crosses val="autoZero"/>
        <c:crossBetween val="midCat"/>
      </c:valAx>
      <c:valAx>
        <c:axId val="346034560"/>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345572480"/>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endParaRPr lang="zh-CN"/>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903</Words>
  <Characters>5149</Characters>
  <Application>Microsoft Office Word</Application>
  <DocSecurity>0</DocSecurity>
  <Lines>42</Lines>
  <Paragraphs>12</Paragraphs>
  <ScaleCrop>false</ScaleCrop>
  <Company/>
  <LinksUpToDate>false</LinksUpToDate>
  <CharactersWithSpaces>6040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Feng Chen</dc:creator>
  <cp:lastModifiedBy>裴 曼曼</cp:lastModifiedBy>
  <cp:revision>15</cp:revision>
  <dcterms:created xsi:type="dcterms:W3CDTF">2022-07-26T08:58:00Z</dcterms:created>
  <dcterms:modified xsi:type="dcterms:W3CDTF">2022-08-08T01:51:00Z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C78F243D37944DCEB5529512099403FF</vt:lpwstr>
  </property>
</Properties>
</file>