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C776" w14:textId="77777777" w:rsidR="00E65C4E" w:rsidRDefault="00E65C4E" w:rsidP="00E65C4E">
      <w:pPr>
        <w:spacing w:after="0" w:line="360" w:lineRule="auto"/>
        <w:jc w:val="both"/>
        <w:rPr>
          <w:b/>
          <w:bCs/>
          <w:sz w:val="24"/>
          <w:szCs w:val="24"/>
        </w:rPr>
      </w:pPr>
      <w:r w:rsidRPr="57F3BA3A">
        <w:rPr>
          <w:b/>
          <w:bCs/>
          <w:sz w:val="24"/>
          <w:szCs w:val="24"/>
        </w:rPr>
        <w:t>SUPPLEMENTARY FIGURE LEGENDS</w:t>
      </w:r>
    </w:p>
    <w:p w14:paraId="52D6E7F0" w14:textId="77777777" w:rsidR="00E65C4E" w:rsidRDefault="00E65C4E" w:rsidP="00E65C4E">
      <w:pPr>
        <w:spacing w:after="0" w:line="360" w:lineRule="auto"/>
        <w:jc w:val="both"/>
      </w:pPr>
      <w:r w:rsidRPr="3B714B7A">
        <w:rPr>
          <w:b/>
          <w:bCs/>
        </w:rPr>
        <w:t>Supplementary Figure 1</w:t>
      </w:r>
      <w:r>
        <w:rPr>
          <w:b/>
          <w:bCs/>
        </w:rPr>
        <w:t>.</w:t>
      </w:r>
      <w:r w:rsidRPr="3B714B7A">
        <w:t xml:space="preserve"> Individual estimated percentages of contribution of each cell and tissue type from the </w:t>
      </w:r>
      <w:proofErr w:type="spellStart"/>
      <w:r w:rsidRPr="3B714B7A">
        <w:t>meth_atlas</w:t>
      </w:r>
      <w:proofErr w:type="spellEnd"/>
      <w:r w:rsidRPr="3B714B7A">
        <w:t xml:space="preserve"> deconvolution tool for </w:t>
      </w:r>
      <w:r>
        <w:t xml:space="preserve">the </w:t>
      </w:r>
      <w:r w:rsidRPr="3B714B7A">
        <w:t>serum samples analysed (11 CTR and 12 MTLE</w:t>
      </w:r>
      <w:r>
        <w:t>-HS</w:t>
      </w:r>
      <w:r w:rsidRPr="3B714B7A">
        <w:t xml:space="preserve">). </w:t>
      </w:r>
      <w:r w:rsidRPr="3B714B7A">
        <w:rPr>
          <w:b/>
          <w:bCs/>
        </w:rPr>
        <w:t xml:space="preserve">A. </w:t>
      </w:r>
      <w:r w:rsidRPr="3B714B7A">
        <w:t xml:space="preserve">Distribution of all percentages of contributions </w:t>
      </w:r>
      <w:r>
        <w:t>of</w:t>
      </w:r>
      <w:r w:rsidRPr="3B714B7A">
        <w:t xml:space="preserve"> individual sample</w:t>
      </w:r>
      <w:r>
        <w:t>s</w:t>
      </w:r>
      <w:r w:rsidRPr="3B714B7A">
        <w:t xml:space="preserve">. </w:t>
      </w:r>
      <w:r w:rsidRPr="3B714B7A">
        <w:rPr>
          <w:b/>
          <w:bCs/>
        </w:rPr>
        <w:t xml:space="preserve">B. </w:t>
      </w:r>
      <w:r w:rsidRPr="3B714B7A">
        <w:t xml:space="preserve">Boxplot comparison of the individual estimated proportion of </w:t>
      </w:r>
      <w:proofErr w:type="spellStart"/>
      <w:r w:rsidRPr="3B714B7A">
        <w:t>cfDNA</w:t>
      </w:r>
      <w:proofErr w:type="spellEnd"/>
      <w:r w:rsidRPr="3B714B7A">
        <w:t xml:space="preserve"> for the tissue and cell types within each study group. Vascular endothelial cell percentage contribution was significantly </w:t>
      </w:r>
      <w:r>
        <w:t>lower</w:t>
      </w:r>
      <w:r w:rsidRPr="3B714B7A">
        <w:t xml:space="preserve"> in MTLE</w:t>
      </w:r>
      <w:r>
        <w:t>-HS</w:t>
      </w:r>
      <w:r w:rsidRPr="3B714B7A">
        <w:t xml:space="preserve"> patients (n=12) </w:t>
      </w:r>
      <w:r>
        <w:t xml:space="preserve">than in </w:t>
      </w:r>
      <w:r w:rsidRPr="3B714B7A">
        <w:t>CTR (n=11) (Wilcoxon test).</w:t>
      </w:r>
    </w:p>
    <w:p w14:paraId="198CB583" w14:textId="77777777" w:rsidR="00E65C4E" w:rsidRDefault="00E65C4E" w:rsidP="00E65C4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*</w:t>
      </w:r>
      <w:r>
        <w:rPr>
          <w:rFonts w:cstheme="minorHAnsi"/>
          <w:i/>
          <w:iCs/>
        </w:rPr>
        <w:t xml:space="preserve">p </w:t>
      </w:r>
      <w:r>
        <w:rPr>
          <w:rFonts w:cstheme="minorHAnsi"/>
        </w:rPr>
        <w:t>&lt; 0.05; **</w:t>
      </w:r>
      <w:r>
        <w:rPr>
          <w:rFonts w:cstheme="minorHAnsi"/>
          <w:i/>
          <w:iCs/>
        </w:rPr>
        <w:t xml:space="preserve">p </w:t>
      </w:r>
      <w:r>
        <w:rPr>
          <w:rFonts w:cstheme="minorHAnsi"/>
        </w:rPr>
        <w:t>&lt; 0.01;</w:t>
      </w:r>
      <w:r w:rsidRPr="00062E6C">
        <w:rPr>
          <w:rFonts w:cstheme="minorHAnsi"/>
        </w:rPr>
        <w:t xml:space="preserve"> </w:t>
      </w:r>
      <w:r>
        <w:rPr>
          <w:rFonts w:cstheme="minorHAnsi"/>
        </w:rPr>
        <w:t>***</w:t>
      </w:r>
      <w:r>
        <w:rPr>
          <w:rFonts w:cstheme="minorHAnsi"/>
          <w:i/>
          <w:iCs/>
        </w:rPr>
        <w:t xml:space="preserve">p </w:t>
      </w:r>
      <w:r>
        <w:rPr>
          <w:rFonts w:cstheme="minorHAnsi"/>
        </w:rPr>
        <w:t>&lt; 0.001.</w:t>
      </w:r>
    </w:p>
    <w:p w14:paraId="461C1577" w14:textId="77777777" w:rsidR="00E65C4E" w:rsidRPr="00062E6C" w:rsidRDefault="00E65C4E" w:rsidP="00E65C4E">
      <w:pPr>
        <w:spacing w:after="0" w:line="360" w:lineRule="auto"/>
        <w:jc w:val="both"/>
        <w:rPr>
          <w:rFonts w:cstheme="minorHAnsi"/>
        </w:rPr>
      </w:pPr>
    </w:p>
    <w:p w14:paraId="3E705CE2" w14:textId="77777777" w:rsidR="00E65C4E" w:rsidRDefault="00E65C4E" w:rsidP="00E65C4E">
      <w:pPr>
        <w:spacing w:after="0" w:line="360" w:lineRule="auto"/>
        <w:jc w:val="both"/>
      </w:pPr>
      <w:r w:rsidRPr="3B714B7A">
        <w:rPr>
          <w:b/>
          <w:bCs/>
        </w:rPr>
        <w:t>Supplementary Figure 2</w:t>
      </w:r>
      <w:r>
        <w:rPr>
          <w:b/>
          <w:bCs/>
        </w:rPr>
        <w:t>.</w:t>
      </w:r>
      <w:r w:rsidRPr="3B714B7A">
        <w:t xml:space="preserve"> </w:t>
      </w:r>
      <w:r w:rsidRPr="3B714B7A">
        <w:rPr>
          <w:b/>
          <w:bCs/>
        </w:rPr>
        <w:t>A.</w:t>
      </w:r>
      <w:r w:rsidRPr="3B714B7A">
        <w:t xml:space="preserve"> Heatmap representation of gene</w:t>
      </w:r>
      <w:r>
        <w:t>-</w:t>
      </w:r>
      <w:r w:rsidRPr="3B714B7A">
        <w:t>expression values (</w:t>
      </w:r>
      <w:proofErr w:type="spellStart"/>
      <w:r w:rsidRPr="3B714B7A">
        <w:t>nTPM</w:t>
      </w:r>
      <w:proofErr w:type="spellEnd"/>
      <w:r w:rsidRPr="3B714B7A">
        <w:t xml:space="preserve">) of the protein-coding genes associated with enriched TF motifs </w:t>
      </w:r>
      <w:r>
        <w:t>i</w:t>
      </w:r>
      <w:r w:rsidRPr="3B714B7A">
        <w:t xml:space="preserve">n </w:t>
      </w:r>
      <w:proofErr w:type="spellStart"/>
      <w:r w:rsidRPr="3B714B7A">
        <w:t>cfDNA</w:t>
      </w:r>
      <w:proofErr w:type="spellEnd"/>
      <w:r w:rsidRPr="3B714B7A">
        <w:t xml:space="preserve"> DMRs across CNS tissues, extracted from the HPA. </w:t>
      </w:r>
      <w:r w:rsidRPr="3B714B7A">
        <w:rPr>
          <w:b/>
          <w:bCs/>
        </w:rPr>
        <w:t xml:space="preserve">B. </w:t>
      </w:r>
      <w:r w:rsidRPr="3B714B7A">
        <w:t xml:space="preserve">Heatmap representation of the level of confidence of the protein-coding genes associated with enriched TF motifs </w:t>
      </w:r>
      <w:r>
        <w:t>i</w:t>
      </w:r>
      <w:r w:rsidRPr="3B714B7A">
        <w:t xml:space="preserve">n </w:t>
      </w:r>
      <w:proofErr w:type="spellStart"/>
      <w:r w:rsidRPr="3B714B7A">
        <w:t>cfDNA</w:t>
      </w:r>
      <w:proofErr w:type="spellEnd"/>
      <w:r w:rsidRPr="3B714B7A">
        <w:t xml:space="preserve"> DMRs across the brain-related tissue clusters, extracted from the HPA.</w:t>
      </w:r>
      <w:r w:rsidRPr="3B714B7A">
        <w:rPr>
          <w:b/>
          <w:bCs/>
        </w:rPr>
        <w:t xml:space="preserve"> C. </w:t>
      </w:r>
      <w:r w:rsidRPr="3B714B7A">
        <w:t xml:space="preserve">Heatmap representation of the level of confidence of the protein-coding genes associated with enriched TF motifs </w:t>
      </w:r>
      <w:r>
        <w:t>i</w:t>
      </w:r>
      <w:r w:rsidRPr="3B714B7A">
        <w:t xml:space="preserve">n </w:t>
      </w:r>
      <w:proofErr w:type="spellStart"/>
      <w:r w:rsidRPr="3B714B7A">
        <w:t>cfDNA</w:t>
      </w:r>
      <w:proofErr w:type="spellEnd"/>
      <w:r w:rsidRPr="3B714B7A">
        <w:t xml:space="preserve"> DMRs across the brain-related single-cell clusters, extracted from the HPA.</w:t>
      </w:r>
    </w:p>
    <w:p w14:paraId="77A81E18" w14:textId="77777777" w:rsidR="00E65C4E" w:rsidRDefault="00E65C4E" w:rsidP="00E65C4E">
      <w:pPr>
        <w:spacing w:after="0" w:line="360" w:lineRule="auto"/>
        <w:jc w:val="both"/>
      </w:pPr>
    </w:p>
    <w:p w14:paraId="22369F46" w14:textId="2E0FD47E" w:rsidR="00FB0522" w:rsidRDefault="00E65C4E" w:rsidP="00E65C4E">
      <w:pPr>
        <w:spacing w:after="0" w:line="360" w:lineRule="auto"/>
        <w:jc w:val="both"/>
      </w:pPr>
      <w:r w:rsidRPr="57F3BA3A">
        <w:rPr>
          <w:b/>
          <w:bCs/>
        </w:rPr>
        <w:t>Supplementary Figure 3</w:t>
      </w:r>
      <w:r>
        <w:rPr>
          <w:b/>
          <w:bCs/>
        </w:rPr>
        <w:t>.</w:t>
      </w:r>
      <w:r w:rsidRPr="57F3BA3A">
        <w:rPr>
          <w:b/>
          <w:bCs/>
        </w:rPr>
        <w:t xml:space="preserve"> A. </w:t>
      </w:r>
      <w:r w:rsidRPr="57F3BA3A">
        <w:t xml:space="preserve">Heatmap representation of DNA methylation of promoter, gene and CGI-DMRs in hippocampus </w:t>
      </w:r>
      <w:r>
        <w:t xml:space="preserve">of </w:t>
      </w:r>
      <w:r w:rsidRPr="57F3BA3A">
        <w:t>MTLE</w:t>
      </w:r>
      <w:r>
        <w:t>-HS</w:t>
      </w:r>
      <w:r w:rsidRPr="57F3BA3A">
        <w:t xml:space="preserve"> patients compar</w:t>
      </w:r>
      <w:r>
        <w:t>ed with</w:t>
      </w:r>
      <w:r w:rsidRPr="57F3BA3A">
        <w:t xml:space="preserve"> </w:t>
      </w:r>
      <w:r>
        <w:t xml:space="preserve">the </w:t>
      </w:r>
      <w:r w:rsidRPr="57F3BA3A">
        <w:t xml:space="preserve">hippocampus of controls. The DNA methylation value of each DMR corresponds to the mean beta value across </w:t>
      </w:r>
      <w:r>
        <w:t>the</w:t>
      </w:r>
      <w:r w:rsidRPr="57F3BA3A">
        <w:t xml:space="preserve"> single-nucleotide positions encompassed </w:t>
      </w:r>
      <w:r>
        <w:t>by</w:t>
      </w:r>
      <w:r w:rsidRPr="57F3BA3A">
        <w:t xml:space="preserve"> the DMR. </w:t>
      </w:r>
      <w:proofErr w:type="gramStart"/>
      <w:r w:rsidRPr="57F3BA3A">
        <w:t>Each individual</w:t>
      </w:r>
      <w:proofErr w:type="gramEnd"/>
      <w:r w:rsidRPr="57F3BA3A">
        <w:t xml:space="preserve"> is annotated </w:t>
      </w:r>
      <w:r>
        <w:t>with respect to</w:t>
      </w:r>
      <w:r w:rsidRPr="57F3BA3A">
        <w:t xml:space="preserve"> age and sex. </w:t>
      </w:r>
      <w:r w:rsidRPr="57F3BA3A">
        <w:rPr>
          <w:b/>
          <w:bCs/>
        </w:rPr>
        <w:t xml:space="preserve">B. </w:t>
      </w:r>
      <w:r w:rsidRPr="57F3BA3A">
        <w:t xml:space="preserve">Heatmap representation of DNA methylation of promoter, gene and CGI-DMRs in neocortex </w:t>
      </w:r>
      <w:r>
        <w:t xml:space="preserve">of </w:t>
      </w:r>
      <w:r w:rsidRPr="57F3BA3A">
        <w:t>MTLE</w:t>
      </w:r>
      <w:r>
        <w:t>-HS</w:t>
      </w:r>
      <w:r w:rsidRPr="57F3BA3A">
        <w:t xml:space="preserve"> patients compar</w:t>
      </w:r>
      <w:r>
        <w:t>ed</w:t>
      </w:r>
      <w:r w:rsidRPr="57F3BA3A">
        <w:t xml:space="preserve"> </w:t>
      </w:r>
      <w:r>
        <w:t xml:space="preserve">with the </w:t>
      </w:r>
      <w:r w:rsidRPr="57F3BA3A">
        <w:t xml:space="preserve">neocortex of controls. </w:t>
      </w:r>
      <w:r w:rsidRPr="57F3BA3A">
        <w:rPr>
          <w:b/>
          <w:bCs/>
        </w:rPr>
        <w:t xml:space="preserve">C. </w:t>
      </w:r>
      <w:r w:rsidRPr="57F3BA3A">
        <w:t xml:space="preserve">Heatmap representation of DNA methylation of promoter, gene and CGI-DMRs in </w:t>
      </w:r>
      <w:proofErr w:type="spellStart"/>
      <w:r w:rsidRPr="57F3BA3A">
        <w:t>NeuN</w:t>
      </w:r>
      <w:proofErr w:type="spellEnd"/>
      <w:r w:rsidRPr="57F3BA3A">
        <w:t xml:space="preserve">+ fractions from </w:t>
      </w:r>
      <w:r>
        <w:t xml:space="preserve">the </w:t>
      </w:r>
      <w:r w:rsidRPr="57F3BA3A">
        <w:t>prefrontal cortex of healthy individuals (GSE112179) compar</w:t>
      </w:r>
      <w:r>
        <w:t>ed</w:t>
      </w:r>
      <w:r w:rsidRPr="57F3BA3A">
        <w:t xml:space="preserve"> </w:t>
      </w:r>
      <w:r>
        <w:t xml:space="preserve">with </w:t>
      </w:r>
      <w:r w:rsidRPr="57F3BA3A">
        <w:t xml:space="preserve">blood cells (GSE110555) </w:t>
      </w:r>
      <w:r w:rsidRPr="57F3BA3A">
        <w:rPr>
          <w:b/>
          <w:bCs/>
        </w:rPr>
        <w:t xml:space="preserve">D. </w:t>
      </w:r>
      <w:r w:rsidRPr="57F3BA3A">
        <w:t>Heatmap representation of DNA methylation of promoter, gene, and CGI-DMRs in glial fractions from white matter of healthy individuals (GSE166207) compar</w:t>
      </w:r>
      <w:r>
        <w:t>ed</w:t>
      </w:r>
      <w:r w:rsidRPr="57F3BA3A">
        <w:t xml:space="preserve"> </w:t>
      </w:r>
      <w:r>
        <w:t xml:space="preserve">with </w:t>
      </w:r>
      <w:r w:rsidRPr="57F3BA3A">
        <w:t>blood cells (GSE110555).</w:t>
      </w:r>
      <w:r w:rsidRPr="57F3BA3A">
        <w:rPr>
          <w:b/>
          <w:bCs/>
        </w:rPr>
        <w:t xml:space="preserve"> E. </w:t>
      </w:r>
      <w:r w:rsidRPr="57F3BA3A">
        <w:t xml:space="preserve">Representation of the overlap between </w:t>
      </w:r>
      <w:proofErr w:type="spellStart"/>
      <w:r w:rsidRPr="57F3BA3A">
        <w:t>cfDNA</w:t>
      </w:r>
      <w:proofErr w:type="spellEnd"/>
      <w:r w:rsidRPr="57F3BA3A">
        <w:t xml:space="preserve"> DMRs in MTLE</w:t>
      </w:r>
      <w:r>
        <w:t>-HS</w:t>
      </w:r>
      <w:r w:rsidRPr="57F3BA3A">
        <w:t xml:space="preserve"> and neuron-specific DMRs. The sets of DMRs overlapped separately in relation to the type of DMR (promoter, gene, CGI) and </w:t>
      </w:r>
      <w:r>
        <w:t xml:space="preserve">to </w:t>
      </w:r>
      <w:r w:rsidRPr="57F3BA3A">
        <w:t>methylation behaviour (hyper</w:t>
      </w:r>
      <w:r>
        <w:t>methylated</w:t>
      </w:r>
      <w:r w:rsidRPr="57F3BA3A">
        <w:t xml:space="preserve"> and hypomethylated). </w:t>
      </w:r>
      <w:r>
        <w:t>Red b</w:t>
      </w:r>
      <w:r w:rsidRPr="57F3BA3A">
        <w:t>ars and lines correspond to the overlap of DMRs with coincidence in the direction of change.</w:t>
      </w:r>
      <w:r w:rsidRPr="57F3BA3A">
        <w:rPr>
          <w:b/>
          <w:bCs/>
        </w:rPr>
        <w:t xml:space="preserve"> F. </w:t>
      </w:r>
      <w:r w:rsidRPr="57F3BA3A">
        <w:t xml:space="preserve">Heatmap matrix representation of the </w:t>
      </w:r>
      <w:r w:rsidRPr="57F3BA3A">
        <w:rPr>
          <w:i/>
          <w:iCs/>
        </w:rPr>
        <w:t>p</w:t>
      </w:r>
      <w:r w:rsidRPr="57F3BA3A">
        <w:t xml:space="preserve"> values </w:t>
      </w:r>
      <w:r>
        <w:t xml:space="preserve">associated with </w:t>
      </w:r>
      <w:r w:rsidRPr="57F3BA3A">
        <w:t xml:space="preserve">the Fisher’s exact test of the overlaps between DMRs in </w:t>
      </w:r>
      <w:proofErr w:type="spellStart"/>
      <w:r w:rsidRPr="57F3BA3A">
        <w:t>cfDNA</w:t>
      </w:r>
      <w:proofErr w:type="spellEnd"/>
      <w:r w:rsidRPr="57F3BA3A">
        <w:t xml:space="preserve"> and </w:t>
      </w:r>
      <w:proofErr w:type="gramStart"/>
      <w:r w:rsidRPr="57F3BA3A">
        <w:t>neuron-specific</w:t>
      </w:r>
      <w:proofErr w:type="gramEnd"/>
      <w:r w:rsidRPr="57F3BA3A">
        <w:t xml:space="preserve"> DMRs.</w:t>
      </w:r>
      <w:r w:rsidRPr="57F3BA3A">
        <w:rPr>
          <w:b/>
          <w:bCs/>
        </w:rPr>
        <w:t xml:space="preserve"> G. </w:t>
      </w:r>
      <w:r w:rsidRPr="57F3BA3A">
        <w:t xml:space="preserve">Representation of the overlap between </w:t>
      </w:r>
      <w:proofErr w:type="spellStart"/>
      <w:r w:rsidRPr="57F3BA3A">
        <w:t>cfDNA</w:t>
      </w:r>
      <w:proofErr w:type="spellEnd"/>
      <w:r w:rsidRPr="57F3BA3A">
        <w:t xml:space="preserve"> DMRs in MTLE</w:t>
      </w:r>
      <w:r>
        <w:t>-HS</w:t>
      </w:r>
      <w:r w:rsidRPr="57F3BA3A">
        <w:t xml:space="preserve"> glia-specific DMRs. The sets of DMRs overlapped separately in relation to the type of DMR (promoter, gene, CGI) and the methylation behaviour (hyper</w:t>
      </w:r>
      <w:r>
        <w:t>methylated</w:t>
      </w:r>
      <w:r w:rsidRPr="57F3BA3A">
        <w:t xml:space="preserve"> and hypomethylated).</w:t>
      </w:r>
      <w:r w:rsidRPr="57F3BA3A">
        <w:rPr>
          <w:b/>
          <w:bCs/>
        </w:rPr>
        <w:t xml:space="preserve"> </w:t>
      </w:r>
      <w:r w:rsidRPr="00E624E0">
        <w:t xml:space="preserve">Red </w:t>
      </w:r>
      <w:r w:rsidRPr="00FD29A7">
        <w:t>b</w:t>
      </w:r>
      <w:r w:rsidRPr="57F3BA3A">
        <w:t xml:space="preserve">ars and lines correspond to the overlap of DMRs with coincidence in the direction of change. </w:t>
      </w:r>
      <w:r w:rsidRPr="57F3BA3A">
        <w:rPr>
          <w:b/>
          <w:bCs/>
        </w:rPr>
        <w:t xml:space="preserve">H. </w:t>
      </w:r>
      <w:r w:rsidRPr="57F3BA3A">
        <w:t xml:space="preserve">Heatmap matrix representation of the </w:t>
      </w:r>
      <w:r w:rsidRPr="57F3BA3A">
        <w:rPr>
          <w:i/>
          <w:iCs/>
        </w:rPr>
        <w:t>p</w:t>
      </w:r>
      <w:r w:rsidRPr="57F3BA3A">
        <w:t xml:space="preserve"> values </w:t>
      </w:r>
      <w:r>
        <w:t xml:space="preserve">associated with </w:t>
      </w:r>
      <w:r w:rsidRPr="57F3BA3A">
        <w:t xml:space="preserve">the Fisher’s exact test of the overlaps between DMRs in </w:t>
      </w:r>
      <w:proofErr w:type="spellStart"/>
      <w:r w:rsidRPr="57F3BA3A">
        <w:t>cfDNA</w:t>
      </w:r>
      <w:proofErr w:type="spellEnd"/>
      <w:r w:rsidRPr="57F3BA3A">
        <w:t xml:space="preserve"> and </w:t>
      </w:r>
      <w:proofErr w:type="gramStart"/>
      <w:r w:rsidRPr="57F3BA3A">
        <w:t>glia-specific</w:t>
      </w:r>
      <w:proofErr w:type="gramEnd"/>
      <w:r w:rsidRPr="57F3BA3A">
        <w:t xml:space="preserve"> DMRs.</w:t>
      </w:r>
    </w:p>
    <w:sectPr w:rsidR="00FB0522" w:rsidSect="00250EB1">
      <w:footerReference w:type="default" r:id="rId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558218"/>
      <w:docPartObj>
        <w:docPartGallery w:val="Page Numbers (Bottom of Page)"/>
        <w:docPartUnique/>
      </w:docPartObj>
    </w:sdtPr>
    <w:sdtContent>
      <w:p w14:paraId="57BC6EA0" w14:textId="77777777" w:rsidR="004961BE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961BE">
          <w:rPr>
            <w:noProof/>
            <w:lang w:val="es-ES"/>
          </w:rPr>
          <w:t>20</w:t>
        </w:r>
        <w:r>
          <w:fldChar w:fldCharType="end"/>
        </w:r>
      </w:p>
    </w:sdtContent>
  </w:sdt>
  <w:p w14:paraId="72ECC77D" w14:textId="77777777" w:rsidR="004961BE" w:rsidRDefault="00000000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4E"/>
    <w:rsid w:val="00E65C4E"/>
    <w:rsid w:val="00FB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537"/>
  <w15:chartTrackingRefBased/>
  <w15:docId w15:val="{141C6F4A-0DD7-4EF3-8A13-4AD7D9A7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4E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65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C4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Ballestar</dc:creator>
  <cp:keywords/>
  <dc:description/>
  <cp:lastModifiedBy>Esteban Ballestar</cp:lastModifiedBy>
  <cp:revision>1</cp:revision>
  <dcterms:created xsi:type="dcterms:W3CDTF">2022-08-02T05:47:00Z</dcterms:created>
  <dcterms:modified xsi:type="dcterms:W3CDTF">2022-08-02T05:48:00Z</dcterms:modified>
</cp:coreProperties>
</file>