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C727" w14:textId="6D0EFE18" w:rsidR="00542AA0" w:rsidRDefault="000471D4" w:rsidP="00771D55">
      <w:pPr>
        <w:pStyle w:val="Tableofcontents"/>
      </w:pPr>
      <w:r w:rsidRPr="000471D4">
        <w:t>Advanced Drug Delivery of Paclitaxel with Thermoresponsive Water-soluble Micelles for Ovarian Cancer</w:t>
      </w:r>
    </w:p>
    <w:p w14:paraId="7336E31D" w14:textId="77777777" w:rsidR="000471D4" w:rsidRPr="00E702E7" w:rsidRDefault="000471D4" w:rsidP="00771D55">
      <w:pPr>
        <w:pStyle w:val="Tableofcontents"/>
      </w:pPr>
    </w:p>
    <w:p w14:paraId="293E551C" w14:textId="3840CFE3" w:rsidR="00542AA0" w:rsidRDefault="00535D75" w:rsidP="00771D55">
      <w:pPr>
        <w:adjustRightInd w:val="0"/>
        <w:snapToGrid w:val="0"/>
        <w:spacing w:line="480" w:lineRule="auto"/>
        <w:rPr>
          <w:rFonts w:ascii="Times New Roman" w:hAnsi="Times New Roman" w:cs="Times New Roman"/>
          <w:bCs/>
        </w:rPr>
      </w:pPr>
      <w:r w:rsidRPr="00535D75">
        <w:rPr>
          <w:rFonts w:ascii="Times New Roman" w:hAnsi="Times New Roman" w:cs="Times New Roman"/>
          <w:bCs/>
        </w:rPr>
        <w:t>Ji-Hye Kang§, Ji-Young Hwang§, Young Jae Cho§, Sang-Yu Park, Jung-Joo Choi, E-Sun Paik, Jeong-Won Lee*, Ueon Sang Shin*</w:t>
      </w:r>
    </w:p>
    <w:p w14:paraId="7DF3D46C" w14:textId="77777777" w:rsidR="00535D75" w:rsidRDefault="00535D75" w:rsidP="00535D75">
      <w:pPr>
        <w:spacing w:line="480" w:lineRule="auto"/>
        <w:rPr>
          <w:rFonts w:ascii="Times New Roman" w:hAnsi="Times New Roman" w:cs="Times New Roman"/>
          <w:bCs/>
          <w:vertAlign w:val="superscript"/>
          <w:lang w:eastAsia="ko-KR"/>
        </w:rPr>
      </w:pPr>
    </w:p>
    <w:p w14:paraId="212AD988" w14:textId="442C98EF" w:rsidR="00535D75" w:rsidRPr="00535D75"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Ji-Hye Kang and Ueon Sang Shin</w:t>
      </w:r>
    </w:p>
    <w:p w14:paraId="03E80802" w14:textId="77777777" w:rsidR="00535D75" w:rsidRPr="00535D75"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Department of Nanobiomedical Science &amp; BK21 NBM Global Research Center for Regenerative Medicine, Dankook University, 119 Dandae-ro, Dongnam-gu, Cheonan 31116, South Korea</w:t>
      </w:r>
    </w:p>
    <w:p w14:paraId="7787E0C8" w14:textId="77777777" w:rsidR="00535D75" w:rsidRPr="00535D75"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 xml:space="preserve">Institute of Tissue Regeneration Engineering (ITREN), Dankook University, 119 Dandae-ro, Dongnam-gu, Cheonan 31116, Republic of Korea </w:t>
      </w:r>
    </w:p>
    <w:p w14:paraId="32C7515E" w14:textId="77777777" w:rsidR="00535D75" w:rsidRPr="00535D75" w:rsidRDefault="00535D75" w:rsidP="00535D75">
      <w:pPr>
        <w:spacing w:line="480" w:lineRule="auto"/>
        <w:rPr>
          <w:rFonts w:ascii="Times New Roman" w:eastAsiaTheme="minorHAnsi" w:hAnsi="Times New Roman" w:cs="Times New Roman"/>
        </w:rPr>
      </w:pPr>
    </w:p>
    <w:p w14:paraId="23894E9A" w14:textId="77777777" w:rsidR="00535D75" w:rsidRPr="00535D75"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Ji-Young Hwang</w:t>
      </w:r>
    </w:p>
    <w:p w14:paraId="65994069" w14:textId="77777777" w:rsidR="00535D75" w:rsidRPr="00535D75"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Convergence Research Division, Korea Carbon Industry Promotion Agency (KCARBON), 110-11 Ballyong-ro, Deokjin-gu, Jeonju 54853, Republic of Korea</w:t>
      </w:r>
    </w:p>
    <w:p w14:paraId="4348ED83" w14:textId="77777777" w:rsidR="00535D75" w:rsidRPr="00535D75" w:rsidRDefault="00535D75" w:rsidP="00535D75">
      <w:pPr>
        <w:spacing w:line="480" w:lineRule="auto"/>
        <w:rPr>
          <w:rFonts w:ascii="Times New Roman" w:eastAsiaTheme="minorHAnsi" w:hAnsi="Times New Roman" w:cs="Times New Roman"/>
        </w:rPr>
      </w:pPr>
    </w:p>
    <w:p w14:paraId="5FCC8D9C" w14:textId="77777777" w:rsidR="00535D75" w:rsidRPr="00535D75"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Young-Jae Cho, Jung-Joo Choi and Jeong-Won Lee</w:t>
      </w:r>
    </w:p>
    <w:p w14:paraId="45617D67" w14:textId="77777777" w:rsidR="00535D75" w:rsidRPr="00535D75"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Department of Obstetrics and Gynecology, Samsung Medical Center, Sungkyunkwan University School of Medicine, 81 Irwon-ro, Gangnam-gu, Seoul 06351, Republic of Korea</w:t>
      </w:r>
    </w:p>
    <w:p w14:paraId="4814A931" w14:textId="77777777" w:rsidR="00535D75" w:rsidRPr="00532453" w:rsidRDefault="00535D75" w:rsidP="00535D75">
      <w:pPr>
        <w:spacing w:line="480" w:lineRule="auto"/>
        <w:rPr>
          <w:rFonts w:ascii="Times New Roman" w:eastAsiaTheme="minorHAnsi" w:hAnsi="Times New Roman" w:cs="Times New Roman"/>
          <w:sz w:val="22"/>
          <w:szCs w:val="22"/>
        </w:rPr>
      </w:pPr>
    </w:p>
    <w:p w14:paraId="5BAB8F4C" w14:textId="77777777" w:rsidR="00535D75" w:rsidRPr="00535D75"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E-Sun Paik</w:t>
      </w:r>
    </w:p>
    <w:p w14:paraId="5FA52FEC" w14:textId="77777777" w:rsidR="00535D75" w:rsidRPr="00535D75"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1Department of Obstetrics and Gynecology, Kangbuk Samsung Hospital, Sungkyunkwan University School of</w:t>
      </w:r>
    </w:p>
    <w:p w14:paraId="667B5429" w14:textId="5F2C5E5A" w:rsidR="00535D75" w:rsidRPr="00E702E7" w:rsidRDefault="00535D75" w:rsidP="00535D75">
      <w:pPr>
        <w:spacing w:line="480" w:lineRule="auto"/>
        <w:rPr>
          <w:rFonts w:ascii="Times New Roman" w:eastAsiaTheme="minorHAnsi" w:hAnsi="Times New Roman" w:cs="Times New Roman"/>
        </w:rPr>
      </w:pPr>
      <w:r w:rsidRPr="00535D75">
        <w:rPr>
          <w:rFonts w:ascii="Times New Roman" w:eastAsiaTheme="minorHAnsi" w:hAnsi="Times New Roman" w:cs="Times New Roman"/>
        </w:rPr>
        <w:t>Medicine, Seoul, Republic of Korea</w:t>
      </w:r>
    </w:p>
    <w:p w14:paraId="00A17419" w14:textId="77777777" w:rsidR="00532453" w:rsidRPr="00532453" w:rsidRDefault="00532453" w:rsidP="00532453">
      <w:pPr>
        <w:spacing w:line="480" w:lineRule="auto"/>
        <w:rPr>
          <w:rFonts w:ascii="Times New Roman" w:eastAsia="MS Mincho" w:hAnsi="Times New Roman" w:cs="Times New Roman"/>
          <w:b/>
          <w:bCs/>
          <w:lang w:val="de-DE" w:eastAsia="ja-JP"/>
        </w:rPr>
      </w:pPr>
      <w:r w:rsidRPr="00532453">
        <w:rPr>
          <w:rFonts w:ascii="Times New Roman" w:eastAsia="MS Mincho" w:hAnsi="Times New Roman" w:cs="Times New Roman"/>
          <w:b/>
          <w:bCs/>
          <w:noProof/>
          <w:lang w:eastAsia="ko-KR"/>
        </w:rPr>
        <w:lastRenderedPageBreak/>
        <w:drawing>
          <wp:inline distT="0" distB="0" distL="0" distR="0" wp14:anchorId="200B6DF5" wp14:editId="7186111D">
            <wp:extent cx="5058383" cy="4331097"/>
            <wp:effectExtent l="0" t="0" r="9525"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
                      <a:extLst>
                        <a:ext uri="{28A0092B-C50C-407E-A947-70E740481C1C}">
                          <a14:useLocalDpi xmlns:a14="http://schemas.microsoft.com/office/drawing/2010/main" val="0"/>
                        </a:ext>
                      </a:extLst>
                    </a:blip>
                    <a:srcRect l="1991" t="2036" r="6405"/>
                    <a:stretch/>
                  </pic:blipFill>
                  <pic:spPr bwMode="auto">
                    <a:xfrm>
                      <a:off x="0" y="0"/>
                      <a:ext cx="5078516" cy="4348336"/>
                    </a:xfrm>
                    <a:prstGeom prst="rect">
                      <a:avLst/>
                    </a:prstGeom>
                    <a:noFill/>
                    <a:ln>
                      <a:noFill/>
                    </a:ln>
                    <a:extLst>
                      <a:ext uri="{53640926-AAD7-44D8-BBD7-CCE9431645EC}">
                        <a14:shadowObscured xmlns:a14="http://schemas.microsoft.com/office/drawing/2010/main"/>
                      </a:ext>
                    </a:extLst>
                  </pic:spPr>
                </pic:pic>
              </a:graphicData>
            </a:graphic>
          </wp:inline>
        </w:drawing>
      </w:r>
    </w:p>
    <w:p w14:paraId="4CEF9283" w14:textId="77777777" w:rsidR="00532453" w:rsidRPr="00532453" w:rsidRDefault="00532453" w:rsidP="00532453">
      <w:pPr>
        <w:adjustRightInd w:val="0"/>
        <w:snapToGrid w:val="0"/>
        <w:spacing w:line="480" w:lineRule="auto"/>
        <w:rPr>
          <w:rFonts w:ascii="Times New Roman" w:eastAsia="MS Mincho" w:hAnsi="Times New Roman" w:cs="Times New Roman"/>
          <w:lang w:val="de-DE" w:eastAsia="ja-JP"/>
        </w:rPr>
      </w:pPr>
      <w:r w:rsidRPr="00532453">
        <w:rPr>
          <w:rFonts w:ascii="Times New Roman" w:eastAsia="MS Mincho" w:hAnsi="Times New Roman" w:cs="Times New Roman"/>
          <w:vertAlign w:val="superscript"/>
          <w:lang w:val="de-DE" w:eastAsia="ja-JP"/>
        </w:rPr>
        <w:t>1</w:t>
      </w:r>
      <w:r w:rsidRPr="00532453">
        <w:rPr>
          <w:rFonts w:ascii="Times New Roman" w:eastAsia="MS Mincho" w:hAnsi="Times New Roman" w:cs="Times New Roman"/>
          <w:lang w:val="de-DE" w:eastAsia="ja-JP"/>
        </w:rPr>
        <w:t>H-NMR (</w:t>
      </w:r>
      <w:r w:rsidRPr="00532453">
        <w:rPr>
          <w:rFonts w:ascii="Times New Roman" w:eastAsia="MS Mincho" w:hAnsi="Times New Roman" w:cs="Times New Roman"/>
          <w:i/>
          <w:iCs/>
          <w:lang w:val="de-DE" w:eastAsia="ja-JP"/>
        </w:rPr>
        <w:t>d</w:t>
      </w:r>
      <w:r w:rsidRPr="00532453">
        <w:rPr>
          <w:rFonts w:ascii="Times New Roman" w:eastAsia="MS Mincho" w:hAnsi="Times New Roman" w:cs="Times New Roman"/>
          <w:lang w:val="de-DE" w:eastAsia="ja-JP"/>
        </w:rPr>
        <w:t>6-DMSO): (ppm) 0.90 (bt, 3H-9), 0.97~1.17 (bd, 6H-e), 1.28~1.39 (bm + bd, 2H-8 + 2H-11), 1.40~1.71 (bd, 2H-a), 1.73~1.88 (bm + bt, 2H-7 + 1H-10), 1.89~2.45 (bt, 1H-b), 3.84 (bm, 1H-d), 4.15 (bt, 2H-6), 6.90~7.64 (bt, 1H-c or 1NH), 7.65~7.95 (bd + bd, 1H-4 + 1H-5), 9.80 (bs, 1H-2).</w:t>
      </w:r>
    </w:p>
    <w:p w14:paraId="1DD4849C" w14:textId="77777777" w:rsidR="00532453" w:rsidRPr="00532453" w:rsidRDefault="00532453" w:rsidP="00532453">
      <w:pPr>
        <w:spacing w:line="480" w:lineRule="auto"/>
        <w:rPr>
          <w:rFonts w:ascii="Times New Roman" w:eastAsia="MS Mincho" w:hAnsi="Times New Roman" w:cs="Times New Roman"/>
          <w:b/>
          <w:bCs/>
          <w:lang w:val="de-DE" w:eastAsia="ja-JP"/>
        </w:rPr>
      </w:pPr>
    </w:p>
    <w:p w14:paraId="7CF00B84" w14:textId="77777777" w:rsidR="00532453" w:rsidRPr="00532453" w:rsidRDefault="00532453" w:rsidP="00532453">
      <w:pPr>
        <w:spacing w:line="480" w:lineRule="auto"/>
        <w:rPr>
          <w:rFonts w:ascii="Times New Roman" w:eastAsia="MS Mincho" w:hAnsi="Times New Roman" w:cs="Times New Roman"/>
          <w:lang w:val="de-DE" w:eastAsia="ja-JP"/>
        </w:rPr>
      </w:pPr>
      <w:r w:rsidRPr="00532453">
        <w:rPr>
          <w:rFonts w:ascii="Times New Roman" w:eastAsia="MS Mincho" w:hAnsi="Times New Roman" w:cs="Times New Roman"/>
          <w:b/>
          <w:bCs/>
          <w:lang w:val="de-DE" w:eastAsia="ja-JP"/>
        </w:rPr>
        <w:t xml:space="preserve">Fig. S1. Characteristic analysis of pNIB and pNIB complex. </w:t>
      </w:r>
      <w:r w:rsidRPr="00532453">
        <w:rPr>
          <w:rFonts w:ascii="Times New Roman" w:eastAsia="MS Mincho" w:hAnsi="Times New Roman" w:cs="Times New Roman"/>
          <w:lang w:val="de-DE" w:eastAsia="ja-JP"/>
        </w:rPr>
        <w:t xml:space="preserve">(A) </w:t>
      </w:r>
      <w:r w:rsidRPr="00532453">
        <w:rPr>
          <w:rFonts w:ascii="Times New Roman" w:eastAsia="MS Mincho" w:hAnsi="Times New Roman" w:cs="Times New Roman"/>
          <w:vertAlign w:val="superscript"/>
          <w:lang w:val="de-DE" w:eastAsia="ja-JP"/>
        </w:rPr>
        <w:t>1</w:t>
      </w:r>
      <w:r w:rsidRPr="00532453">
        <w:rPr>
          <w:rFonts w:ascii="Times New Roman" w:eastAsia="MS Mincho" w:hAnsi="Times New Roman" w:cs="Times New Roman"/>
          <w:lang w:val="de-DE" w:eastAsia="ja-JP"/>
        </w:rPr>
        <w:t xml:space="preserve">H-NMR spectrum of pNIB copolymer showed characteristic peaks and (B) Calibration curves created by plotting the known PTX concentrations on the x axis and the concentrations of PTX quantified by HPLC on the y-axis. (C) FT-IR spectra of PTX, pNIB, and pNIB/PTX-3 complex. </w:t>
      </w:r>
    </w:p>
    <w:p w14:paraId="1FF6C5A9" w14:textId="77777777" w:rsidR="00532453" w:rsidRPr="00532453" w:rsidRDefault="00532453" w:rsidP="00532453">
      <w:pPr>
        <w:spacing w:line="480" w:lineRule="auto"/>
        <w:rPr>
          <w:rFonts w:ascii="Times New Roman" w:eastAsia="MS Mincho" w:hAnsi="Times New Roman" w:cs="Times New Roman"/>
          <w:b/>
          <w:bCs/>
          <w:lang w:val="de-DE" w:eastAsia="ja-JP"/>
        </w:rPr>
      </w:pPr>
      <w:r w:rsidRPr="00532453">
        <w:rPr>
          <w:rFonts w:ascii="Times New Roman" w:eastAsia="MS Mincho" w:hAnsi="Times New Roman" w:cs="Times New Roman"/>
          <w:b/>
          <w:bCs/>
          <w:lang w:val="de-DE" w:eastAsia="ja-JP"/>
        </w:rPr>
        <w:t xml:space="preserve"> </w:t>
      </w:r>
    </w:p>
    <w:p w14:paraId="59099DDD" w14:textId="77777777" w:rsidR="00532453" w:rsidRPr="00532453" w:rsidRDefault="00532453" w:rsidP="00532453">
      <w:pPr>
        <w:spacing w:line="480" w:lineRule="auto"/>
        <w:rPr>
          <w:rFonts w:ascii="Times New Roman" w:eastAsia="MS Mincho" w:hAnsi="Times New Roman" w:cs="Times New Roman"/>
          <w:b/>
          <w:bCs/>
          <w:lang w:val="de-DE" w:eastAsia="ja-JP"/>
        </w:rPr>
      </w:pPr>
    </w:p>
    <w:p w14:paraId="60FA0D56" w14:textId="77777777" w:rsidR="00532453" w:rsidRPr="00532453" w:rsidRDefault="00532453" w:rsidP="00532453">
      <w:pPr>
        <w:spacing w:line="480" w:lineRule="auto"/>
        <w:rPr>
          <w:rFonts w:ascii="Times New Roman" w:eastAsia="MS Mincho" w:hAnsi="Times New Roman" w:cs="Times New Roman"/>
          <w:b/>
          <w:bCs/>
          <w:lang w:val="de-DE" w:eastAsia="ja-JP"/>
        </w:rPr>
      </w:pPr>
      <w:r w:rsidRPr="00532453">
        <w:rPr>
          <w:rFonts w:ascii="Times New Roman" w:eastAsia="MS Mincho" w:hAnsi="Times New Roman" w:cs="Times New Roman"/>
          <w:b/>
          <w:bCs/>
          <w:noProof/>
          <w:lang w:eastAsia="ko-KR"/>
        </w:rPr>
        <w:lastRenderedPageBreak/>
        <w:drawing>
          <wp:inline distT="0" distB="0" distL="0" distR="0" wp14:anchorId="3F4B7FD2" wp14:editId="4E735F8C">
            <wp:extent cx="4938571" cy="4348264"/>
            <wp:effectExtent l="0" t="0" r="0" b="0"/>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7">
                      <a:extLst>
                        <a:ext uri="{28A0092B-C50C-407E-A947-70E740481C1C}">
                          <a14:useLocalDpi xmlns:a14="http://schemas.microsoft.com/office/drawing/2010/main" val="0"/>
                        </a:ext>
                      </a:extLst>
                    </a:blip>
                    <a:srcRect l="1642" t="2184" r="6998" b="1487"/>
                    <a:stretch/>
                  </pic:blipFill>
                  <pic:spPr bwMode="auto">
                    <a:xfrm>
                      <a:off x="0" y="0"/>
                      <a:ext cx="4965932" cy="4372354"/>
                    </a:xfrm>
                    <a:prstGeom prst="rect">
                      <a:avLst/>
                    </a:prstGeom>
                    <a:noFill/>
                    <a:ln>
                      <a:noFill/>
                    </a:ln>
                    <a:extLst>
                      <a:ext uri="{53640926-AAD7-44D8-BBD7-CCE9431645EC}">
                        <a14:shadowObscured xmlns:a14="http://schemas.microsoft.com/office/drawing/2010/main"/>
                      </a:ext>
                    </a:extLst>
                  </pic:spPr>
                </pic:pic>
              </a:graphicData>
            </a:graphic>
          </wp:inline>
        </w:drawing>
      </w:r>
    </w:p>
    <w:p w14:paraId="73DE8537" w14:textId="77777777" w:rsidR="00532453" w:rsidRPr="00532453" w:rsidRDefault="00532453" w:rsidP="00532453">
      <w:pPr>
        <w:spacing w:line="480" w:lineRule="auto"/>
        <w:rPr>
          <w:rFonts w:ascii="Times New Roman" w:eastAsia="MS Mincho" w:hAnsi="Times New Roman" w:cs="Times New Roman"/>
          <w:lang w:val="de-DE" w:eastAsia="ja-JP"/>
        </w:rPr>
      </w:pPr>
      <w:r w:rsidRPr="00532453">
        <w:rPr>
          <w:rFonts w:ascii="Times New Roman" w:eastAsia="MS Mincho" w:hAnsi="Times New Roman" w:cs="Times New Roman"/>
          <w:b/>
          <w:bCs/>
          <w:lang w:val="de-DE" w:eastAsia="ja-JP"/>
        </w:rPr>
        <w:t xml:space="preserve">Fig. S2. </w:t>
      </w:r>
      <w:r w:rsidRPr="00532453">
        <w:rPr>
          <w:rFonts w:ascii="Times New Roman" w:eastAsia="맑은 고딕" w:hAnsi="Times New Roman" w:cs="Times New Roman"/>
          <w:b/>
          <w:lang w:val="de-DE" w:eastAsia="ko-KR"/>
        </w:rPr>
        <w:t>Characterization of the pNIB/PTX micelle complexes.</w:t>
      </w:r>
      <w:r w:rsidRPr="00532453">
        <w:rPr>
          <w:rFonts w:ascii="Times New Roman" w:eastAsia="맑은 고딕" w:hAnsi="Times New Roman" w:cs="Times New Roman"/>
          <w:bCs/>
          <w:lang w:val="de-DE" w:eastAsia="ko-KR"/>
        </w:rPr>
        <w:t xml:space="preserve"> </w:t>
      </w:r>
      <w:r w:rsidRPr="00532453">
        <w:rPr>
          <w:rFonts w:ascii="Times New Roman" w:eastAsia="MS Mincho" w:hAnsi="Times New Roman" w:cs="Times New Roman"/>
          <w:lang w:val="de-DE" w:eastAsia="ja-JP"/>
        </w:rPr>
        <w:t>(A) The Zeta (ξ) potentials of pNIB at pH 4–10. (B) Size distribution curves for pNIB and pNIB/PTX-3 micelles samples measured by Zeta Sizer nano ZS90 (Malvern, France). The size distribution curves were almost symmetrical to the vertical line passing through the maximum, in all cases. The maximum value is the average size and the distance between the two ends at the base is reflected in the standard deviations.</w:t>
      </w:r>
    </w:p>
    <w:p w14:paraId="3AA97B2D" w14:textId="77777777" w:rsidR="00532453" w:rsidRPr="00532453" w:rsidRDefault="00532453" w:rsidP="00532453">
      <w:pPr>
        <w:spacing w:line="480" w:lineRule="auto"/>
        <w:rPr>
          <w:rFonts w:ascii="Times New Roman" w:eastAsia="MS Mincho" w:hAnsi="Times New Roman" w:cs="Times New Roman"/>
          <w:b/>
          <w:bCs/>
          <w:lang w:val="de-DE" w:eastAsia="ja-JP"/>
        </w:rPr>
      </w:pPr>
    </w:p>
    <w:p w14:paraId="12E75247" w14:textId="77777777" w:rsidR="00532453" w:rsidRPr="00532453" w:rsidRDefault="00532453" w:rsidP="00532453">
      <w:pPr>
        <w:spacing w:line="480" w:lineRule="auto"/>
        <w:rPr>
          <w:rFonts w:ascii="Times New Roman" w:eastAsia="MS Mincho" w:hAnsi="Times New Roman" w:cs="Times New Roman"/>
          <w:b/>
          <w:bCs/>
          <w:lang w:val="de-DE" w:eastAsia="ja-JP"/>
        </w:rPr>
      </w:pPr>
      <w:r w:rsidRPr="00532453">
        <w:rPr>
          <w:rFonts w:ascii="Times New Roman" w:eastAsia="MS Mincho" w:hAnsi="Times New Roman" w:cs="Times New Roman"/>
          <w:b/>
          <w:bCs/>
          <w:lang w:val="de-DE" w:eastAsia="ja-JP"/>
        </w:rPr>
        <w:br w:type="page"/>
      </w:r>
    </w:p>
    <w:p w14:paraId="4F4C3AF8" w14:textId="77777777" w:rsidR="00532453" w:rsidRPr="00532453" w:rsidRDefault="00532453" w:rsidP="00532453">
      <w:pPr>
        <w:adjustRightInd w:val="0"/>
        <w:snapToGrid w:val="0"/>
        <w:spacing w:line="480" w:lineRule="auto"/>
        <w:rPr>
          <w:rFonts w:ascii="Times New Roman" w:eastAsia="MS Mincho" w:hAnsi="Times New Roman" w:cs="Times New Roman"/>
          <w:b/>
          <w:bCs/>
          <w:lang w:val="de-DE" w:eastAsia="ja-JP"/>
        </w:rPr>
      </w:pPr>
      <w:r w:rsidRPr="00532453">
        <w:rPr>
          <w:rFonts w:ascii="Times New Roman" w:eastAsia="MS Mincho" w:hAnsi="Times New Roman" w:cs="Times New Roman"/>
          <w:b/>
          <w:bCs/>
          <w:lang w:val="de-DE" w:eastAsia="ja-JP"/>
        </w:rPr>
        <w:lastRenderedPageBreak/>
        <w:t xml:space="preserve"> </w:t>
      </w:r>
      <w:r w:rsidRPr="00532453">
        <w:rPr>
          <w:rFonts w:ascii="Times New Roman" w:eastAsia="MS Mincho" w:hAnsi="Times New Roman" w:cs="Times New Roman"/>
          <w:b/>
          <w:bCs/>
          <w:noProof/>
          <w:lang w:eastAsia="ko-KR"/>
        </w:rPr>
        <w:drawing>
          <wp:inline distT="0" distB="0" distL="0" distR="0" wp14:anchorId="3B2569E8" wp14:editId="255CC046">
            <wp:extent cx="5214026" cy="4919942"/>
            <wp:effectExtent l="0" t="0" r="5715" b="0"/>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13" t="1526" b="957"/>
                    <a:stretch/>
                  </pic:blipFill>
                  <pic:spPr bwMode="auto">
                    <a:xfrm>
                      <a:off x="0" y="0"/>
                      <a:ext cx="5228065" cy="4933190"/>
                    </a:xfrm>
                    <a:prstGeom prst="rect">
                      <a:avLst/>
                    </a:prstGeom>
                    <a:noFill/>
                    <a:ln>
                      <a:noFill/>
                    </a:ln>
                    <a:extLst>
                      <a:ext uri="{53640926-AAD7-44D8-BBD7-CCE9431645EC}">
                        <a14:shadowObscured xmlns:a14="http://schemas.microsoft.com/office/drawing/2010/main"/>
                      </a:ext>
                    </a:extLst>
                  </pic:spPr>
                </pic:pic>
              </a:graphicData>
            </a:graphic>
          </wp:inline>
        </w:drawing>
      </w:r>
    </w:p>
    <w:p w14:paraId="3A7F1961" w14:textId="77777777" w:rsidR="00532453" w:rsidRPr="00532453" w:rsidRDefault="00532453" w:rsidP="00532453">
      <w:pPr>
        <w:adjustRightInd w:val="0"/>
        <w:snapToGrid w:val="0"/>
        <w:spacing w:line="480" w:lineRule="auto"/>
        <w:rPr>
          <w:rFonts w:ascii="Times New Roman" w:eastAsia="MS Mincho" w:hAnsi="Times New Roman" w:cs="Times New Roman"/>
          <w:lang w:val="de-DE" w:eastAsia="ja-JP"/>
        </w:rPr>
      </w:pPr>
      <w:r w:rsidRPr="00532453">
        <w:rPr>
          <w:rFonts w:ascii="Times New Roman" w:eastAsia="MS Mincho" w:hAnsi="Times New Roman" w:cs="Times New Roman"/>
          <w:b/>
          <w:bCs/>
          <w:lang w:val="de-DE" w:eastAsia="ja-JP"/>
        </w:rPr>
        <w:t xml:space="preserve">Fig. S3. Solubility analysis of </w:t>
      </w:r>
      <w:r w:rsidRPr="00532453">
        <w:rPr>
          <w:rFonts w:ascii="Times New Roman" w:eastAsia="맑은 고딕" w:hAnsi="Times New Roman" w:cs="Times New Roman"/>
          <w:b/>
          <w:bCs/>
          <w:lang w:val="de-DE" w:eastAsia="ko-KR"/>
        </w:rPr>
        <w:t>temperature-responsive micelles in the aqueous solution.</w:t>
      </w:r>
      <w:r w:rsidRPr="00532453">
        <w:rPr>
          <w:rFonts w:ascii="Times New Roman" w:eastAsia="MS Mincho" w:hAnsi="Times New Roman" w:cs="Times New Roman"/>
          <w:lang w:val="de-DE" w:eastAsia="ja-JP"/>
        </w:rPr>
        <w:t xml:space="preserve"> Colloidal stability of pNIB/PTX-1 (A), pNIB/PTX-2 (B), pNIB/PTX-3 (C), and pNIB/PTX-4 (D) complex solutions (0.25 mg/mL) in PBS at 37 </w:t>
      </w:r>
      <w:r w:rsidRPr="00532453">
        <w:rPr>
          <w:rFonts w:ascii="Times New Roman" w:eastAsia="MS Mincho" w:hAnsi="Times New Roman" w:cs="Times New Roman"/>
          <w:vertAlign w:val="superscript"/>
          <w:lang w:val="de-DE" w:eastAsia="ja-JP"/>
        </w:rPr>
        <w:t>o</w:t>
      </w:r>
      <w:r w:rsidRPr="00532453">
        <w:rPr>
          <w:rFonts w:ascii="Times New Roman" w:eastAsia="MS Mincho" w:hAnsi="Times New Roman" w:cs="Times New Roman"/>
          <w:lang w:val="de-DE" w:eastAsia="ja-JP"/>
        </w:rPr>
        <w:t xml:space="preserve">C was conducted using TurbiScane Lab. </w:t>
      </w:r>
      <w:r w:rsidRPr="00532453">
        <w:rPr>
          <w:rFonts w:ascii="Times New Roman" w:eastAsia="MS Mincho" w:hAnsi="Times New Roman" w:cs="Times New Roman"/>
          <w:lang w:val="de-DE" w:eastAsia="ko-KR"/>
        </w:rPr>
        <w:t xml:space="preserve">Photographic images comparing pNIB/PTX exposed at 37 ℃ for 24 hours to a 25 ℃ control (left panel). </w:t>
      </w:r>
      <w:r w:rsidRPr="00532453">
        <w:rPr>
          <w:rFonts w:ascii="Times New Roman" w:eastAsia="MS Mincho" w:hAnsi="Times New Roman" w:cs="Times New Roman"/>
          <w:lang w:val="de-DE" w:eastAsia="ja-JP"/>
        </w:rPr>
        <w:t>Full spectrum of Dispersion stability test for 24 hours (C) The values are displayed as backscattering in percentage for 24 hours (right panel).</w:t>
      </w:r>
    </w:p>
    <w:p w14:paraId="38FD7D8C" w14:textId="77777777" w:rsidR="00532453" w:rsidRPr="00532453" w:rsidRDefault="00532453" w:rsidP="00532453">
      <w:pPr>
        <w:spacing w:line="480" w:lineRule="auto"/>
        <w:rPr>
          <w:rFonts w:ascii="Times New Roman" w:eastAsia="MS Mincho" w:hAnsi="Times New Roman" w:cs="Times New Roman"/>
          <w:lang w:val="de-DE" w:eastAsia="ja-JP"/>
        </w:rPr>
      </w:pPr>
      <w:r w:rsidRPr="00532453">
        <w:rPr>
          <w:rFonts w:ascii="Times New Roman" w:eastAsia="MS Mincho" w:hAnsi="Times New Roman" w:cs="Times New Roman"/>
          <w:lang w:val="de-DE" w:eastAsia="ja-JP"/>
        </w:rPr>
        <w:br w:type="page"/>
      </w:r>
    </w:p>
    <w:p w14:paraId="6FC63F7E" w14:textId="77777777" w:rsidR="00532453" w:rsidRPr="00532453" w:rsidRDefault="00532453" w:rsidP="00532453">
      <w:pPr>
        <w:spacing w:line="480" w:lineRule="auto"/>
        <w:rPr>
          <w:rFonts w:ascii="Times New Roman" w:eastAsia="MS Mincho" w:hAnsi="Times New Roman" w:cs="Times New Roman"/>
          <w:b/>
          <w:bCs/>
          <w:lang w:val="de-DE" w:eastAsia="ja-JP"/>
        </w:rPr>
      </w:pPr>
      <w:r w:rsidRPr="00532453">
        <w:rPr>
          <w:rFonts w:ascii="Times New Roman" w:eastAsia="MS Mincho" w:hAnsi="Times New Roman" w:cs="Times New Roman"/>
          <w:b/>
          <w:bCs/>
          <w:noProof/>
          <w:lang w:eastAsia="ko-KR"/>
        </w:rPr>
        <w:lastRenderedPageBreak/>
        <w:drawing>
          <wp:inline distT="0" distB="0" distL="0" distR="0" wp14:anchorId="724912D8" wp14:editId="7864EB5E">
            <wp:extent cx="5291847" cy="1731021"/>
            <wp:effectExtent l="0" t="0" r="4445"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8746" cy="1765989"/>
                    </a:xfrm>
                    <a:prstGeom prst="rect">
                      <a:avLst/>
                    </a:prstGeom>
                    <a:noFill/>
                  </pic:spPr>
                </pic:pic>
              </a:graphicData>
            </a:graphic>
          </wp:inline>
        </w:drawing>
      </w:r>
    </w:p>
    <w:p w14:paraId="237ECA99" w14:textId="77777777" w:rsidR="00532453" w:rsidRPr="00532453" w:rsidRDefault="00532453" w:rsidP="00532453">
      <w:pPr>
        <w:adjustRightInd w:val="0"/>
        <w:snapToGrid w:val="0"/>
        <w:spacing w:line="480" w:lineRule="auto"/>
        <w:rPr>
          <w:rFonts w:ascii="Times New Roman" w:eastAsia="MS Mincho" w:hAnsi="Times New Roman" w:cs="Times New Roman"/>
          <w:lang w:val="de-DE" w:eastAsia="ja-JP"/>
        </w:rPr>
      </w:pPr>
      <w:r w:rsidRPr="00532453">
        <w:rPr>
          <w:rFonts w:ascii="Times New Roman" w:eastAsia="MS Mincho" w:hAnsi="Times New Roman" w:cs="Times New Roman"/>
          <w:b/>
          <w:bCs/>
          <w:lang w:val="de-DE" w:eastAsia="ja-JP"/>
        </w:rPr>
        <w:t>Fig. S4. Schematic illustration of drug loading and releasing according with LCST.</w:t>
      </w:r>
      <w:r w:rsidRPr="00532453">
        <w:rPr>
          <w:rFonts w:ascii="Times New Roman" w:eastAsia="MS Mincho" w:hAnsi="Times New Roman" w:cs="Times New Roman"/>
          <w:lang w:val="de-DE" w:eastAsia="ja-JP"/>
        </w:rPr>
        <w:t xml:space="preserve"> This shows the theoretical mechanisms of increasing LCST and temperature-induced multi-step DDS, which decreases the drug loading in micelle, thereby reducing the LCST and accelerating the drug release. </w:t>
      </w:r>
    </w:p>
    <w:p w14:paraId="522F12F1" w14:textId="77777777" w:rsidR="00532453" w:rsidRPr="00532453" w:rsidRDefault="00532453" w:rsidP="00532453">
      <w:pPr>
        <w:spacing w:line="480" w:lineRule="auto"/>
        <w:rPr>
          <w:rFonts w:ascii="Times New Roman" w:eastAsia="MS Mincho" w:hAnsi="Times New Roman" w:cs="Times New Roman"/>
          <w:lang w:val="de-DE" w:eastAsia="ja-JP"/>
        </w:rPr>
      </w:pPr>
      <w:r w:rsidRPr="00532453">
        <w:rPr>
          <w:rFonts w:ascii="Times New Roman" w:eastAsia="MS Mincho" w:hAnsi="Times New Roman" w:cs="Times New Roman"/>
          <w:lang w:val="de-DE" w:eastAsia="ja-JP"/>
        </w:rPr>
        <w:br w:type="page"/>
      </w:r>
    </w:p>
    <w:p w14:paraId="72F68CB4" w14:textId="77777777" w:rsidR="00532453" w:rsidRPr="00532453" w:rsidRDefault="00532453" w:rsidP="00532453">
      <w:pPr>
        <w:adjustRightInd w:val="0"/>
        <w:snapToGrid w:val="0"/>
        <w:spacing w:line="480" w:lineRule="auto"/>
        <w:rPr>
          <w:rFonts w:ascii="Times New Roman" w:eastAsia="MS Mincho" w:hAnsi="Times New Roman" w:cs="Times New Roman"/>
          <w:lang w:val="de-DE" w:eastAsia="ja-JP"/>
        </w:rPr>
      </w:pPr>
      <w:r w:rsidRPr="00532453">
        <w:rPr>
          <w:rFonts w:ascii="Times New Roman" w:eastAsia="MS Mincho" w:hAnsi="Times New Roman" w:cs="Times New Roman"/>
          <w:noProof/>
          <w:lang w:eastAsia="ko-KR"/>
        </w:rPr>
        <w:lastRenderedPageBreak/>
        <w:drawing>
          <wp:inline distT="0" distB="0" distL="0" distR="0" wp14:anchorId="52A65B93" wp14:editId="5313FBEE">
            <wp:extent cx="5301574" cy="1489263"/>
            <wp:effectExtent l="0" t="0" r="0" b="0"/>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2401" cy="1503541"/>
                    </a:xfrm>
                    <a:prstGeom prst="rect">
                      <a:avLst/>
                    </a:prstGeom>
                    <a:noFill/>
                  </pic:spPr>
                </pic:pic>
              </a:graphicData>
            </a:graphic>
          </wp:inline>
        </w:drawing>
      </w:r>
    </w:p>
    <w:p w14:paraId="7780B778" w14:textId="77777777" w:rsidR="00532453" w:rsidRPr="00532453" w:rsidRDefault="00532453" w:rsidP="00532453">
      <w:pPr>
        <w:spacing w:line="480" w:lineRule="auto"/>
        <w:rPr>
          <w:rFonts w:ascii="Times New Roman" w:eastAsia="맑은 고딕" w:hAnsi="Times New Roman" w:cs="Times New Roman"/>
          <w:lang w:eastAsia="ko-KR"/>
        </w:rPr>
      </w:pPr>
      <w:r w:rsidRPr="00532453">
        <w:rPr>
          <w:rFonts w:ascii="Times New Roman" w:eastAsia="MS Mincho" w:hAnsi="Times New Roman" w:cs="Times New Roman"/>
          <w:b/>
          <w:bCs/>
          <w:lang w:val="de-DE" w:eastAsia="ja-JP"/>
        </w:rPr>
        <w:t xml:space="preserve">Fig. S5. Additional FE-SEM images of pNIB at 25 </w:t>
      </w:r>
      <w:r w:rsidRPr="00532453">
        <w:rPr>
          <w:rFonts w:ascii="Times New Roman" w:eastAsia="MS Mincho" w:hAnsi="Times New Roman" w:cs="Times New Roman"/>
          <w:b/>
          <w:bCs/>
          <w:lang w:val="de-DE" w:eastAsia="ko-KR"/>
        </w:rPr>
        <w:t>℃.</w:t>
      </w:r>
      <w:r w:rsidRPr="00532453">
        <w:rPr>
          <w:rFonts w:ascii="Times New Roman" w:eastAsia="MS Mincho" w:hAnsi="Times New Roman" w:cs="Times New Roman"/>
          <w:b/>
          <w:bCs/>
          <w:lang w:val="de-DE" w:eastAsia="ko-KR"/>
        </w:rPr>
        <w:fldChar w:fldCharType="begin"/>
      </w:r>
      <w:r w:rsidRPr="00532453">
        <w:rPr>
          <w:rFonts w:ascii="Times New Roman" w:eastAsia="MS Mincho" w:hAnsi="Times New Roman" w:cs="Times New Roman"/>
          <w:b/>
          <w:bCs/>
          <w:lang w:val="de-DE" w:eastAsia="ko-KR"/>
        </w:rPr>
        <w:instrText xml:space="preserve"> ADDIN </w:instrText>
      </w:r>
      <w:r w:rsidRPr="00532453">
        <w:rPr>
          <w:rFonts w:ascii="Times New Roman" w:eastAsia="MS Mincho" w:hAnsi="Times New Roman" w:cs="Times New Roman"/>
          <w:b/>
          <w:bCs/>
          <w:lang w:val="de-DE" w:eastAsia="ko-KR"/>
        </w:rPr>
        <w:fldChar w:fldCharType="end"/>
      </w:r>
    </w:p>
    <w:p w14:paraId="6CD55DCE" w14:textId="77777777" w:rsidR="00C034B1" w:rsidRPr="00771D55" w:rsidRDefault="00C034B1" w:rsidP="00771D55">
      <w:pPr>
        <w:adjustRightInd w:val="0"/>
        <w:snapToGrid w:val="0"/>
        <w:spacing w:line="480" w:lineRule="auto"/>
        <w:rPr>
          <w:rFonts w:ascii="Times New Roman" w:hAnsi="Times New Roman" w:cs="Times New Roman"/>
        </w:rPr>
      </w:pPr>
    </w:p>
    <w:p w14:paraId="174A28E2" w14:textId="63A8AFCB" w:rsidR="00771D55" w:rsidRDefault="00771D55">
      <w:pPr>
        <w:rPr>
          <w:rFonts w:ascii="Times New Roman" w:hAnsi="Times New Roman" w:cs="Times New Roman"/>
          <w:b/>
          <w:bCs/>
        </w:rPr>
      </w:pPr>
      <w:r>
        <w:rPr>
          <w:rFonts w:ascii="Times New Roman" w:hAnsi="Times New Roman" w:cs="Times New Roman"/>
          <w:b/>
          <w:bCs/>
        </w:rPr>
        <w:br w:type="page"/>
      </w:r>
    </w:p>
    <w:p w14:paraId="4521B49E" w14:textId="77777777" w:rsidR="00C034B1" w:rsidRDefault="00C034B1" w:rsidP="00C034B1">
      <w:pPr>
        <w:adjustRightInd w:val="0"/>
        <w:snapToGrid w:val="0"/>
        <w:spacing w:line="480" w:lineRule="auto"/>
        <w:rPr>
          <w:rFonts w:ascii="Times New Roman" w:hAnsi="Times New Roman" w:cs="Times New Roman"/>
          <w:lang w:eastAsia="ko-KR"/>
        </w:rPr>
      </w:pPr>
      <w:r>
        <w:rPr>
          <w:rFonts w:ascii="Times New Roman" w:hAnsi="Times New Roman" w:cs="Times New Roman"/>
          <w:b/>
          <w:bCs/>
        </w:rPr>
        <w:lastRenderedPageBreak/>
        <w:t>Table</w:t>
      </w:r>
      <w:r w:rsidRPr="00771D55">
        <w:rPr>
          <w:rFonts w:ascii="Times New Roman" w:hAnsi="Times New Roman" w:cs="Times New Roman"/>
          <w:b/>
          <w:bCs/>
        </w:rPr>
        <w:t xml:space="preserve"> S</w:t>
      </w:r>
      <w:r>
        <w:rPr>
          <w:rFonts w:ascii="Times New Roman" w:hAnsi="Times New Roman" w:cs="Times New Roman"/>
          <w:b/>
          <w:bCs/>
        </w:rPr>
        <w:t>1</w:t>
      </w:r>
      <w:r w:rsidRPr="00771D55">
        <w:rPr>
          <w:rFonts w:ascii="Times New Roman" w:hAnsi="Times New Roman" w:cs="Times New Roman"/>
          <w:b/>
          <w:bCs/>
        </w:rPr>
        <w:t xml:space="preserve">. </w:t>
      </w:r>
      <w:r>
        <w:rPr>
          <w:rFonts w:ascii="Times New Roman" w:hAnsi="Times New Roman" w:cs="Times New Roman"/>
          <w:lang w:eastAsia="ko-KR"/>
        </w:rPr>
        <w:t>Characteristic parameters</w:t>
      </w:r>
      <w:r w:rsidRPr="00771D55">
        <w:rPr>
          <w:rFonts w:ascii="Times New Roman" w:hAnsi="Times New Roman" w:cs="Times New Roman"/>
          <w:lang w:eastAsia="ko-KR"/>
        </w:rPr>
        <w:t xml:space="preserve"> of pNIB and pNIB/PTX</w:t>
      </w:r>
      <w:r>
        <w:rPr>
          <w:rFonts w:ascii="Times New Roman" w:hAnsi="Times New Roman" w:cs="Times New Roman"/>
          <w:lang w:eastAsia="ko-KR"/>
        </w:rPr>
        <w:t xml:space="preserve"> complex </w:t>
      </w:r>
      <w:r w:rsidRPr="00771D55">
        <w:rPr>
          <w:rFonts w:ascii="Times New Roman" w:hAnsi="Times New Roman" w:cs="Times New Roman"/>
          <w:lang w:eastAsia="ko-KR"/>
        </w:rPr>
        <w:t xml:space="preserve">depending on </w:t>
      </w:r>
      <w:r>
        <w:rPr>
          <w:rFonts w:ascii="Times New Roman" w:hAnsi="Times New Roman" w:cs="Times New Roman"/>
          <w:lang w:eastAsia="ko-KR"/>
        </w:rPr>
        <w:t xml:space="preserve">different </w:t>
      </w:r>
      <w:r w:rsidRPr="00771D55">
        <w:rPr>
          <w:rFonts w:ascii="Times New Roman" w:hAnsi="Times New Roman" w:cs="Times New Roman"/>
          <w:lang w:eastAsia="ko-KR"/>
        </w:rPr>
        <w:t>temperature.</w:t>
      </w:r>
    </w:p>
    <w:p w14:paraId="6490B7CA" w14:textId="766A31D6" w:rsidR="006247BF" w:rsidRPr="00C034B1" w:rsidRDefault="006247BF" w:rsidP="006247BF">
      <w:pPr>
        <w:adjustRightInd w:val="0"/>
        <w:snapToGrid w:val="0"/>
        <w:spacing w:line="480" w:lineRule="auto"/>
        <w:rPr>
          <w:rFonts w:ascii="Times New Roman" w:hAnsi="Times New Roman" w:cs="Times New Roman"/>
          <w:lang w:eastAsia="ko-KR"/>
        </w:rPr>
      </w:pPr>
    </w:p>
    <w:tbl>
      <w:tblPr>
        <w:tblStyle w:val="a7"/>
        <w:tblpPr w:leftFromText="142" w:rightFromText="142" w:vertAnchor="text" w:tblpY="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126"/>
        <w:gridCol w:w="2410"/>
        <w:gridCol w:w="2642"/>
      </w:tblGrid>
      <w:tr w:rsidR="00C034B1" w:rsidRPr="00555987" w14:paraId="6AE7C430" w14:textId="77777777" w:rsidTr="00C034B1">
        <w:tc>
          <w:tcPr>
            <w:tcW w:w="1838" w:type="dxa"/>
            <w:tcBorders>
              <w:top w:val="single" w:sz="4" w:space="0" w:color="auto"/>
              <w:bottom w:val="single" w:sz="4" w:space="0" w:color="auto"/>
            </w:tcBorders>
            <w:vAlign w:val="center"/>
          </w:tcPr>
          <w:p w14:paraId="17A290C6"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b/>
                <w:bCs/>
                <w:color w:val="000000" w:themeColor="text1"/>
                <w:kern w:val="24"/>
                <w:sz w:val="24"/>
                <w:szCs w:val="28"/>
              </w:rPr>
              <w:t>Sample name</w:t>
            </w:r>
          </w:p>
        </w:tc>
        <w:tc>
          <w:tcPr>
            <w:tcW w:w="2126" w:type="dxa"/>
            <w:tcBorders>
              <w:top w:val="single" w:sz="4" w:space="0" w:color="auto"/>
              <w:bottom w:val="single" w:sz="4" w:space="0" w:color="auto"/>
            </w:tcBorders>
            <w:vAlign w:val="center"/>
          </w:tcPr>
          <w:p w14:paraId="5298B3AD"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b/>
                <w:bCs/>
                <w:color w:val="000000" w:themeColor="text1"/>
                <w:kern w:val="24"/>
                <w:sz w:val="24"/>
                <w:szCs w:val="28"/>
              </w:rPr>
              <w:t>Temperature (℃)</w:t>
            </w:r>
          </w:p>
        </w:tc>
        <w:tc>
          <w:tcPr>
            <w:tcW w:w="2410" w:type="dxa"/>
            <w:tcBorders>
              <w:top w:val="single" w:sz="4" w:space="0" w:color="auto"/>
              <w:bottom w:val="single" w:sz="4" w:space="0" w:color="auto"/>
            </w:tcBorders>
            <w:vAlign w:val="center"/>
          </w:tcPr>
          <w:p w14:paraId="4731D315"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b/>
                <w:bCs/>
                <w:color w:val="000000" w:themeColor="text1"/>
                <w:kern w:val="24"/>
                <w:sz w:val="24"/>
                <w:szCs w:val="28"/>
              </w:rPr>
              <w:t>Size (nm)</w:t>
            </w:r>
          </w:p>
        </w:tc>
        <w:tc>
          <w:tcPr>
            <w:tcW w:w="2642" w:type="dxa"/>
            <w:tcBorders>
              <w:top w:val="single" w:sz="4" w:space="0" w:color="auto"/>
              <w:bottom w:val="single" w:sz="4" w:space="0" w:color="auto"/>
            </w:tcBorders>
            <w:vAlign w:val="center"/>
          </w:tcPr>
          <w:p w14:paraId="5D7BA14C"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b/>
                <w:bCs/>
                <w:color w:val="000000" w:themeColor="text1"/>
                <w:kern w:val="24"/>
                <w:sz w:val="24"/>
                <w:szCs w:val="28"/>
              </w:rPr>
              <w:t>Contraction ratio (%)</w:t>
            </w:r>
          </w:p>
        </w:tc>
      </w:tr>
      <w:tr w:rsidR="00C034B1" w:rsidRPr="00555987" w14:paraId="33E7FF4F" w14:textId="77777777" w:rsidTr="00C034B1">
        <w:tc>
          <w:tcPr>
            <w:tcW w:w="1838" w:type="dxa"/>
            <w:vMerge w:val="restart"/>
            <w:tcBorders>
              <w:top w:val="single" w:sz="4" w:space="0" w:color="auto"/>
            </w:tcBorders>
            <w:vAlign w:val="center"/>
          </w:tcPr>
          <w:p w14:paraId="585E4EA3"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pNIB</w:t>
            </w:r>
          </w:p>
        </w:tc>
        <w:tc>
          <w:tcPr>
            <w:tcW w:w="2126" w:type="dxa"/>
            <w:tcBorders>
              <w:top w:val="single" w:sz="4" w:space="0" w:color="auto"/>
            </w:tcBorders>
            <w:vAlign w:val="center"/>
          </w:tcPr>
          <w:p w14:paraId="34FB9DF4"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25 ℃</w:t>
            </w:r>
          </w:p>
        </w:tc>
        <w:tc>
          <w:tcPr>
            <w:tcW w:w="2410" w:type="dxa"/>
            <w:tcBorders>
              <w:top w:val="single" w:sz="4" w:space="0" w:color="auto"/>
            </w:tcBorders>
            <w:vAlign w:val="center"/>
          </w:tcPr>
          <w:p w14:paraId="33E77235"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279.27 ± 75.27</w:t>
            </w:r>
          </w:p>
        </w:tc>
        <w:tc>
          <w:tcPr>
            <w:tcW w:w="2642" w:type="dxa"/>
            <w:tcBorders>
              <w:top w:val="single" w:sz="4" w:space="0" w:color="auto"/>
            </w:tcBorders>
            <w:vAlign w:val="center"/>
          </w:tcPr>
          <w:p w14:paraId="5115298E"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0 %</w:t>
            </w:r>
          </w:p>
        </w:tc>
      </w:tr>
      <w:tr w:rsidR="00C034B1" w:rsidRPr="00555987" w14:paraId="7D051FCD" w14:textId="77777777" w:rsidTr="00C034B1">
        <w:tc>
          <w:tcPr>
            <w:tcW w:w="1838" w:type="dxa"/>
            <w:vMerge/>
            <w:vAlign w:val="center"/>
          </w:tcPr>
          <w:p w14:paraId="663A418E" w14:textId="77777777" w:rsidR="00C034B1" w:rsidRPr="006247BF" w:rsidRDefault="00C034B1" w:rsidP="00C034B1">
            <w:pPr>
              <w:widowControl w:val="0"/>
              <w:spacing w:line="480" w:lineRule="auto"/>
              <w:jc w:val="center"/>
              <w:rPr>
                <w:rFonts w:ascii="Times New Roman" w:hAnsi="Times New Roman" w:cs="Times New Roman"/>
                <w:sz w:val="24"/>
                <w:szCs w:val="28"/>
              </w:rPr>
            </w:pPr>
          </w:p>
        </w:tc>
        <w:tc>
          <w:tcPr>
            <w:tcW w:w="2126" w:type="dxa"/>
            <w:vAlign w:val="center"/>
          </w:tcPr>
          <w:p w14:paraId="63F1C5D7"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37 ℃</w:t>
            </w:r>
          </w:p>
        </w:tc>
        <w:tc>
          <w:tcPr>
            <w:tcW w:w="2410" w:type="dxa"/>
            <w:vAlign w:val="center"/>
          </w:tcPr>
          <w:p w14:paraId="4D3FC077"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43.85 ± 14.49</w:t>
            </w:r>
          </w:p>
        </w:tc>
        <w:tc>
          <w:tcPr>
            <w:tcW w:w="2642" w:type="dxa"/>
            <w:vAlign w:val="center"/>
          </w:tcPr>
          <w:p w14:paraId="21C77CA2"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84.30 %</w:t>
            </w:r>
          </w:p>
        </w:tc>
      </w:tr>
      <w:tr w:rsidR="00C034B1" w:rsidRPr="00555987" w14:paraId="1B29FD5E" w14:textId="77777777" w:rsidTr="00C034B1">
        <w:tc>
          <w:tcPr>
            <w:tcW w:w="1838" w:type="dxa"/>
            <w:vMerge/>
            <w:tcBorders>
              <w:bottom w:val="single" w:sz="4" w:space="0" w:color="auto"/>
            </w:tcBorders>
            <w:vAlign w:val="center"/>
          </w:tcPr>
          <w:p w14:paraId="48A1EA37" w14:textId="77777777" w:rsidR="00C034B1" w:rsidRPr="006247BF" w:rsidRDefault="00C034B1" w:rsidP="00C034B1">
            <w:pPr>
              <w:widowControl w:val="0"/>
              <w:spacing w:line="480" w:lineRule="auto"/>
              <w:jc w:val="center"/>
              <w:rPr>
                <w:rFonts w:ascii="Times New Roman" w:hAnsi="Times New Roman" w:cs="Times New Roman"/>
                <w:sz w:val="24"/>
                <w:szCs w:val="28"/>
              </w:rPr>
            </w:pPr>
          </w:p>
        </w:tc>
        <w:tc>
          <w:tcPr>
            <w:tcW w:w="2126" w:type="dxa"/>
            <w:tcBorders>
              <w:bottom w:val="single" w:sz="4" w:space="0" w:color="auto"/>
            </w:tcBorders>
            <w:vAlign w:val="center"/>
          </w:tcPr>
          <w:p w14:paraId="06A32BCE"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40 ℃</w:t>
            </w:r>
          </w:p>
        </w:tc>
        <w:tc>
          <w:tcPr>
            <w:tcW w:w="2410" w:type="dxa"/>
            <w:tcBorders>
              <w:bottom w:val="single" w:sz="4" w:space="0" w:color="auto"/>
            </w:tcBorders>
            <w:vAlign w:val="center"/>
          </w:tcPr>
          <w:p w14:paraId="3CD43FEC"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41.65 ± 13.35</w:t>
            </w:r>
          </w:p>
        </w:tc>
        <w:tc>
          <w:tcPr>
            <w:tcW w:w="2642" w:type="dxa"/>
            <w:tcBorders>
              <w:bottom w:val="single" w:sz="4" w:space="0" w:color="auto"/>
            </w:tcBorders>
            <w:vAlign w:val="center"/>
          </w:tcPr>
          <w:p w14:paraId="35A52284"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85.09 %</w:t>
            </w:r>
          </w:p>
        </w:tc>
      </w:tr>
      <w:tr w:rsidR="00C034B1" w:rsidRPr="00555987" w14:paraId="7780A0F8" w14:textId="77777777" w:rsidTr="00C034B1">
        <w:tc>
          <w:tcPr>
            <w:tcW w:w="1838" w:type="dxa"/>
            <w:vMerge w:val="restart"/>
            <w:tcBorders>
              <w:top w:val="single" w:sz="4" w:space="0" w:color="auto"/>
            </w:tcBorders>
            <w:vAlign w:val="center"/>
          </w:tcPr>
          <w:p w14:paraId="34E9C9B4"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pNIB/PTX-3</w:t>
            </w:r>
          </w:p>
        </w:tc>
        <w:tc>
          <w:tcPr>
            <w:tcW w:w="2126" w:type="dxa"/>
            <w:tcBorders>
              <w:top w:val="single" w:sz="4" w:space="0" w:color="auto"/>
            </w:tcBorders>
            <w:vAlign w:val="center"/>
          </w:tcPr>
          <w:p w14:paraId="07EBCDF8"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25 ℃</w:t>
            </w:r>
          </w:p>
        </w:tc>
        <w:tc>
          <w:tcPr>
            <w:tcW w:w="2410" w:type="dxa"/>
            <w:tcBorders>
              <w:top w:val="single" w:sz="4" w:space="0" w:color="auto"/>
            </w:tcBorders>
            <w:vAlign w:val="center"/>
          </w:tcPr>
          <w:p w14:paraId="7C4952D2"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87.76 ± 22.78</w:t>
            </w:r>
          </w:p>
        </w:tc>
        <w:tc>
          <w:tcPr>
            <w:tcW w:w="2642" w:type="dxa"/>
            <w:tcBorders>
              <w:top w:val="single" w:sz="4" w:space="0" w:color="auto"/>
            </w:tcBorders>
            <w:vAlign w:val="center"/>
          </w:tcPr>
          <w:p w14:paraId="23FB372E"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0 %</w:t>
            </w:r>
          </w:p>
        </w:tc>
      </w:tr>
      <w:tr w:rsidR="00C034B1" w:rsidRPr="00555987" w14:paraId="36342FA2" w14:textId="77777777" w:rsidTr="00C034B1">
        <w:tc>
          <w:tcPr>
            <w:tcW w:w="1838" w:type="dxa"/>
            <w:vMerge/>
            <w:vAlign w:val="center"/>
          </w:tcPr>
          <w:p w14:paraId="1CAC5251" w14:textId="77777777" w:rsidR="00C034B1" w:rsidRPr="006247BF" w:rsidRDefault="00C034B1" w:rsidP="00C034B1">
            <w:pPr>
              <w:widowControl w:val="0"/>
              <w:spacing w:line="480" w:lineRule="auto"/>
              <w:jc w:val="center"/>
              <w:rPr>
                <w:rFonts w:ascii="Times New Roman" w:hAnsi="Times New Roman" w:cs="Times New Roman"/>
                <w:sz w:val="24"/>
                <w:szCs w:val="28"/>
              </w:rPr>
            </w:pPr>
          </w:p>
        </w:tc>
        <w:tc>
          <w:tcPr>
            <w:tcW w:w="2126" w:type="dxa"/>
            <w:vAlign w:val="center"/>
          </w:tcPr>
          <w:p w14:paraId="19DEA999"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37 ℃</w:t>
            </w:r>
          </w:p>
        </w:tc>
        <w:tc>
          <w:tcPr>
            <w:tcW w:w="2410" w:type="dxa"/>
            <w:vAlign w:val="center"/>
          </w:tcPr>
          <w:p w14:paraId="0E1D0097"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63.24 ± 10.96</w:t>
            </w:r>
          </w:p>
        </w:tc>
        <w:tc>
          <w:tcPr>
            <w:tcW w:w="2642" w:type="dxa"/>
            <w:vAlign w:val="center"/>
          </w:tcPr>
          <w:p w14:paraId="09AC6891"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27.94 %</w:t>
            </w:r>
          </w:p>
        </w:tc>
      </w:tr>
      <w:tr w:rsidR="00C034B1" w:rsidRPr="00555987" w14:paraId="7E37FE3F" w14:textId="77777777" w:rsidTr="00C034B1">
        <w:tc>
          <w:tcPr>
            <w:tcW w:w="1838" w:type="dxa"/>
            <w:vMerge/>
            <w:tcBorders>
              <w:bottom w:val="single" w:sz="4" w:space="0" w:color="auto"/>
            </w:tcBorders>
            <w:vAlign w:val="center"/>
          </w:tcPr>
          <w:p w14:paraId="0B143318" w14:textId="77777777" w:rsidR="00C034B1" w:rsidRPr="006247BF" w:rsidRDefault="00C034B1" w:rsidP="00C034B1">
            <w:pPr>
              <w:widowControl w:val="0"/>
              <w:spacing w:line="480" w:lineRule="auto"/>
              <w:jc w:val="center"/>
              <w:rPr>
                <w:rFonts w:ascii="Times New Roman" w:hAnsi="Times New Roman" w:cs="Times New Roman"/>
                <w:sz w:val="24"/>
                <w:szCs w:val="28"/>
              </w:rPr>
            </w:pPr>
          </w:p>
        </w:tc>
        <w:tc>
          <w:tcPr>
            <w:tcW w:w="2126" w:type="dxa"/>
            <w:tcBorders>
              <w:bottom w:val="single" w:sz="4" w:space="0" w:color="auto"/>
            </w:tcBorders>
            <w:vAlign w:val="center"/>
          </w:tcPr>
          <w:p w14:paraId="20F8E002"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40 ℃</w:t>
            </w:r>
          </w:p>
        </w:tc>
        <w:tc>
          <w:tcPr>
            <w:tcW w:w="2410" w:type="dxa"/>
            <w:tcBorders>
              <w:bottom w:val="single" w:sz="4" w:space="0" w:color="auto"/>
            </w:tcBorders>
            <w:vAlign w:val="center"/>
          </w:tcPr>
          <w:p w14:paraId="06B680BA"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56.13 ± 17.80</w:t>
            </w:r>
          </w:p>
        </w:tc>
        <w:tc>
          <w:tcPr>
            <w:tcW w:w="2642" w:type="dxa"/>
            <w:tcBorders>
              <w:bottom w:val="single" w:sz="4" w:space="0" w:color="auto"/>
            </w:tcBorders>
            <w:vAlign w:val="center"/>
          </w:tcPr>
          <w:p w14:paraId="22750470" w14:textId="77777777" w:rsidR="00C034B1" w:rsidRPr="006247BF" w:rsidRDefault="00C034B1" w:rsidP="00C034B1">
            <w:pPr>
              <w:widowControl w:val="0"/>
              <w:spacing w:line="480" w:lineRule="auto"/>
              <w:jc w:val="center"/>
              <w:rPr>
                <w:rFonts w:ascii="Times New Roman" w:hAnsi="Times New Roman" w:cs="Times New Roman"/>
                <w:sz w:val="24"/>
                <w:szCs w:val="28"/>
              </w:rPr>
            </w:pPr>
            <w:r w:rsidRPr="006247BF">
              <w:rPr>
                <w:rFonts w:ascii="Times New Roman" w:hAnsi="Times New Roman" w:cs="Times New Roman"/>
                <w:color w:val="000000" w:themeColor="text1"/>
                <w:kern w:val="24"/>
                <w:sz w:val="24"/>
                <w:szCs w:val="28"/>
              </w:rPr>
              <w:t>36.04 %</w:t>
            </w:r>
          </w:p>
        </w:tc>
      </w:tr>
    </w:tbl>
    <w:p w14:paraId="596CE2ED" w14:textId="77777777" w:rsidR="00771D55" w:rsidRPr="00F97377" w:rsidRDefault="00771D55" w:rsidP="00771D55">
      <w:pPr>
        <w:spacing w:line="480" w:lineRule="auto"/>
        <w:rPr>
          <w:rFonts w:ascii="Times New Roman" w:hAnsi="Times New Roman" w:cs="Times New Roman"/>
          <w:b/>
          <w:bCs/>
        </w:rPr>
      </w:pPr>
    </w:p>
    <w:sectPr w:rsidR="00771D55" w:rsidRPr="00F97377" w:rsidSect="007E1B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BA5EC" w14:textId="77777777" w:rsidR="0067034A" w:rsidRDefault="0067034A" w:rsidP="00771D55">
      <w:r>
        <w:separator/>
      </w:r>
    </w:p>
  </w:endnote>
  <w:endnote w:type="continuationSeparator" w:id="0">
    <w:p w14:paraId="5FB12E44" w14:textId="77777777" w:rsidR="0067034A" w:rsidRDefault="0067034A" w:rsidP="0077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95453" w14:textId="77777777" w:rsidR="0067034A" w:rsidRDefault="0067034A" w:rsidP="00771D55">
      <w:r>
        <w:separator/>
      </w:r>
    </w:p>
  </w:footnote>
  <w:footnote w:type="continuationSeparator" w:id="0">
    <w:p w14:paraId="25A2A2B1" w14:textId="77777777" w:rsidR="0067034A" w:rsidRDefault="0067034A" w:rsidP="00771D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128"/>
    <w:rsid w:val="000471D4"/>
    <w:rsid w:val="000A2937"/>
    <w:rsid w:val="00107014"/>
    <w:rsid w:val="00120924"/>
    <w:rsid w:val="00155ED1"/>
    <w:rsid w:val="003126CF"/>
    <w:rsid w:val="00322128"/>
    <w:rsid w:val="00532453"/>
    <w:rsid w:val="00535D75"/>
    <w:rsid w:val="00542AA0"/>
    <w:rsid w:val="006247BF"/>
    <w:rsid w:val="0067034A"/>
    <w:rsid w:val="00771D55"/>
    <w:rsid w:val="007E1BA8"/>
    <w:rsid w:val="008F699A"/>
    <w:rsid w:val="00911D7B"/>
    <w:rsid w:val="00AD065A"/>
    <w:rsid w:val="00B57F85"/>
    <w:rsid w:val="00C034B1"/>
    <w:rsid w:val="00E702E7"/>
    <w:rsid w:val="00F9737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75985"/>
  <w15:chartTrackingRefBased/>
  <w15:docId w15:val="{B9DF7FE8-61A5-834E-BD56-A67CBE85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ofcontents">
    <w:name w:val="Table of contents"/>
    <w:basedOn w:val="a"/>
    <w:autoRedefine/>
    <w:rsid w:val="00771D55"/>
    <w:pPr>
      <w:adjustRightInd w:val="0"/>
      <w:snapToGrid w:val="0"/>
      <w:spacing w:line="480" w:lineRule="auto"/>
    </w:pPr>
    <w:rPr>
      <w:rFonts w:ascii="Times New Roman" w:eastAsia="맑은 고딕" w:hAnsi="Times New Roman" w:cs="Times New Roman"/>
      <w:b/>
      <w:lang w:eastAsia="ko-KR"/>
    </w:rPr>
  </w:style>
  <w:style w:type="character" w:styleId="a3">
    <w:name w:val="annotation reference"/>
    <w:basedOn w:val="a0"/>
    <w:uiPriority w:val="99"/>
    <w:unhideWhenUsed/>
    <w:rsid w:val="00542AA0"/>
    <w:rPr>
      <w:sz w:val="16"/>
      <w:szCs w:val="16"/>
    </w:rPr>
  </w:style>
  <w:style w:type="paragraph" w:styleId="a4">
    <w:name w:val="annotation text"/>
    <w:basedOn w:val="a"/>
    <w:link w:val="Char"/>
    <w:uiPriority w:val="99"/>
    <w:unhideWhenUsed/>
    <w:rsid w:val="00542AA0"/>
    <w:rPr>
      <w:rFonts w:ascii="Times New Roman" w:eastAsia="MS Mincho" w:hAnsi="Times New Roman" w:cs="Times New Roman"/>
      <w:sz w:val="20"/>
      <w:szCs w:val="20"/>
      <w:lang w:val="de-DE" w:eastAsia="ja-JP"/>
    </w:rPr>
  </w:style>
  <w:style w:type="character" w:customStyle="1" w:styleId="Char">
    <w:name w:val="메모 텍스트 Char"/>
    <w:basedOn w:val="a0"/>
    <w:link w:val="a4"/>
    <w:uiPriority w:val="99"/>
    <w:rsid w:val="00542AA0"/>
    <w:rPr>
      <w:rFonts w:ascii="Times New Roman" w:eastAsia="MS Mincho" w:hAnsi="Times New Roman" w:cs="Times New Roman"/>
      <w:sz w:val="20"/>
      <w:szCs w:val="20"/>
      <w:lang w:val="de-DE" w:eastAsia="ja-JP"/>
    </w:rPr>
  </w:style>
  <w:style w:type="paragraph" w:styleId="a5">
    <w:name w:val="header"/>
    <w:basedOn w:val="a"/>
    <w:link w:val="Char0"/>
    <w:uiPriority w:val="99"/>
    <w:unhideWhenUsed/>
    <w:rsid w:val="00771D55"/>
    <w:pPr>
      <w:tabs>
        <w:tab w:val="center" w:pos="4513"/>
        <w:tab w:val="right" w:pos="9026"/>
      </w:tabs>
      <w:snapToGrid w:val="0"/>
    </w:pPr>
  </w:style>
  <w:style w:type="character" w:customStyle="1" w:styleId="Char0">
    <w:name w:val="머리글 Char"/>
    <w:basedOn w:val="a0"/>
    <w:link w:val="a5"/>
    <w:uiPriority w:val="99"/>
    <w:rsid w:val="00771D55"/>
  </w:style>
  <w:style w:type="paragraph" w:styleId="a6">
    <w:name w:val="footer"/>
    <w:basedOn w:val="a"/>
    <w:link w:val="Char1"/>
    <w:uiPriority w:val="99"/>
    <w:unhideWhenUsed/>
    <w:rsid w:val="00771D55"/>
    <w:pPr>
      <w:tabs>
        <w:tab w:val="center" w:pos="4513"/>
        <w:tab w:val="right" w:pos="9026"/>
      </w:tabs>
      <w:snapToGrid w:val="0"/>
    </w:pPr>
  </w:style>
  <w:style w:type="character" w:customStyle="1" w:styleId="Char1">
    <w:name w:val="바닥글 Char"/>
    <w:basedOn w:val="a0"/>
    <w:link w:val="a6"/>
    <w:uiPriority w:val="99"/>
    <w:rsid w:val="00771D55"/>
  </w:style>
  <w:style w:type="table" w:styleId="a7">
    <w:name w:val="Table Grid"/>
    <w:basedOn w:val="a1"/>
    <w:uiPriority w:val="59"/>
    <w:rsid w:val="006247BF"/>
    <w:pPr>
      <w:jc w:val="both"/>
    </w:pPr>
    <w:rPr>
      <w:kern w:val="2"/>
      <w:sz w:val="20"/>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표 구분선1"/>
    <w:basedOn w:val="a1"/>
    <w:next w:val="a7"/>
    <w:uiPriority w:val="59"/>
    <w:rsid w:val="00532453"/>
    <w:pPr>
      <w:jc w:val="both"/>
    </w:pPr>
    <w:rPr>
      <w:kern w:val="2"/>
      <w:sz w:val="20"/>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509</Words>
  <Characters>2903</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Kim Hansem</cp:lastModifiedBy>
  <cp:revision>4</cp:revision>
  <dcterms:created xsi:type="dcterms:W3CDTF">2021-07-26T02:36:00Z</dcterms:created>
  <dcterms:modified xsi:type="dcterms:W3CDTF">2022-08-07T20:37:00Z</dcterms:modified>
</cp:coreProperties>
</file>