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4C4A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b/>
          <w:sz w:val="24"/>
          <w:szCs w:val="24"/>
        </w:rPr>
      </w:pPr>
      <w:r w:rsidRPr="00BD3E14">
        <w:rPr>
          <w:rFonts w:ascii="Arial" w:eastAsia="平成明朝" w:hAnsi="Arial" w:cs="Arial"/>
          <w:b/>
          <w:sz w:val="24"/>
          <w:szCs w:val="24"/>
        </w:rPr>
        <w:t xml:space="preserve">Assessments of optimal timing for combined therapy with </w:t>
      </w:r>
      <w:proofErr w:type="spellStart"/>
      <w:r w:rsidRPr="00BD3E14">
        <w:rPr>
          <w:rFonts w:ascii="Arial" w:eastAsia="平成明朝" w:hAnsi="Arial" w:cs="Arial"/>
          <w:b/>
          <w:sz w:val="24"/>
          <w:szCs w:val="24"/>
        </w:rPr>
        <w:t>axitinib</w:t>
      </w:r>
      <w:proofErr w:type="spellEnd"/>
      <w:r w:rsidRPr="00BD3E14">
        <w:rPr>
          <w:rFonts w:ascii="Arial" w:eastAsia="平成明朝" w:hAnsi="Arial" w:cs="Arial"/>
          <w:b/>
          <w:sz w:val="24"/>
          <w:szCs w:val="24"/>
        </w:rPr>
        <w:t xml:space="preserve"> and immune check point inhibitor in a mouse renal cell carcinoma model</w:t>
      </w:r>
    </w:p>
    <w:p w14:paraId="327A6B28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</w:p>
    <w:p w14:paraId="1D6DA0D2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  <w:r w:rsidRPr="00BD3E14">
        <w:rPr>
          <w:rFonts w:ascii="Arial" w:eastAsia="平成明朝" w:hAnsi="Arial" w:cs="Arial"/>
          <w:color w:val="000000"/>
          <w:sz w:val="24"/>
          <w:szCs w:val="24"/>
        </w:rPr>
        <w:t xml:space="preserve">Hiromitsu Watanabe,* </w:t>
      </w:r>
      <w:proofErr w:type="spellStart"/>
      <w:r w:rsidRPr="00BD3E14">
        <w:rPr>
          <w:rFonts w:ascii="Arial" w:eastAsia="平成明朝" w:hAnsi="Arial" w:cs="Arial"/>
          <w:color w:val="000000"/>
          <w:sz w:val="24"/>
          <w:szCs w:val="24"/>
        </w:rPr>
        <w:t>Yuto</w:t>
      </w:r>
      <w:proofErr w:type="spellEnd"/>
      <w:r w:rsidRPr="00BD3E14">
        <w:rPr>
          <w:rFonts w:ascii="Arial" w:eastAsia="平成明朝" w:hAnsi="Arial" w:cs="Arial"/>
          <w:color w:val="000000"/>
          <w:sz w:val="24"/>
          <w:szCs w:val="24"/>
        </w:rPr>
        <w:t xml:space="preserve"> Matsushita, Keita Tamura, Daisuke </w:t>
      </w:r>
      <w:proofErr w:type="spellStart"/>
      <w:r w:rsidRPr="00BD3E14">
        <w:rPr>
          <w:rFonts w:ascii="Arial" w:eastAsia="平成明朝" w:hAnsi="Arial" w:cs="Arial"/>
          <w:color w:val="000000"/>
          <w:sz w:val="24"/>
          <w:szCs w:val="24"/>
        </w:rPr>
        <w:t>Motoyama</w:t>
      </w:r>
      <w:proofErr w:type="spellEnd"/>
      <w:r w:rsidRPr="00BD3E14">
        <w:rPr>
          <w:rFonts w:ascii="Arial" w:eastAsia="平成明朝" w:hAnsi="Arial" w:cs="Arial"/>
          <w:color w:val="000000"/>
          <w:sz w:val="24"/>
          <w:szCs w:val="24"/>
        </w:rPr>
        <w:t>, Takayuki Sugiyama, Atsushi Otsuka, Hideaki Miyake</w:t>
      </w:r>
    </w:p>
    <w:p w14:paraId="11BF501D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</w:p>
    <w:p w14:paraId="7371285F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  <w:r w:rsidRPr="00BD3E14">
        <w:rPr>
          <w:rFonts w:ascii="Arial" w:eastAsia="HGSｺﾞｼｯｸE" w:hAnsi="Arial" w:cs="Arial"/>
          <w:i/>
          <w:sz w:val="24"/>
          <w:szCs w:val="24"/>
        </w:rPr>
        <w:t>Department of Urology, Hamamatsu University School of Medicine, Hamamatsu, Japan</w:t>
      </w:r>
    </w:p>
    <w:p w14:paraId="5726BB6C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</w:p>
    <w:p w14:paraId="03F10245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  <w:r w:rsidRPr="00BD3E14">
        <w:rPr>
          <w:rFonts w:ascii="Arial" w:eastAsia="平成明朝" w:hAnsi="Arial" w:cs="Arial"/>
          <w:sz w:val="24"/>
          <w:szCs w:val="24"/>
        </w:rPr>
        <w:t xml:space="preserve">Running head: Optimal timing for combined therapy with </w:t>
      </w:r>
      <w:proofErr w:type="spellStart"/>
      <w:r w:rsidRPr="00BD3E14">
        <w:rPr>
          <w:rFonts w:ascii="Arial" w:eastAsia="平成明朝" w:hAnsi="Arial" w:cs="Arial"/>
          <w:sz w:val="24"/>
          <w:szCs w:val="24"/>
        </w:rPr>
        <w:t>axitinib</w:t>
      </w:r>
      <w:proofErr w:type="spellEnd"/>
      <w:r w:rsidRPr="00BD3E14">
        <w:rPr>
          <w:rFonts w:ascii="Arial" w:eastAsia="平成明朝" w:hAnsi="Arial" w:cs="Arial"/>
          <w:sz w:val="24"/>
          <w:szCs w:val="24"/>
        </w:rPr>
        <w:t xml:space="preserve"> and immune check point inhibitor</w:t>
      </w:r>
    </w:p>
    <w:p w14:paraId="4FF0B0FC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</w:p>
    <w:p w14:paraId="5FC29BEC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</w:p>
    <w:p w14:paraId="40CFC71C" w14:textId="77777777" w:rsidR="00BD3E14" w:rsidRPr="00BD3E14" w:rsidRDefault="00BD3E14" w:rsidP="00BD3E14">
      <w:pPr>
        <w:widowControl/>
        <w:spacing w:after="0" w:line="360" w:lineRule="auto"/>
        <w:rPr>
          <w:rFonts w:ascii="Arial" w:eastAsia="平成明朝" w:hAnsi="Arial" w:cs="Arial"/>
          <w:sz w:val="24"/>
          <w:szCs w:val="24"/>
        </w:rPr>
      </w:pPr>
    </w:p>
    <w:p w14:paraId="7E164181" w14:textId="77777777" w:rsidR="00BD3E14" w:rsidRPr="00BD3E14" w:rsidRDefault="00BD3E14" w:rsidP="00BD3E14">
      <w:pPr>
        <w:widowControl/>
        <w:spacing w:after="0" w:line="360" w:lineRule="auto"/>
        <w:rPr>
          <w:rFonts w:ascii="Arial" w:eastAsia="HGSｺﾞｼｯｸE" w:hAnsi="Arial" w:cs="Arial"/>
          <w:sz w:val="24"/>
          <w:szCs w:val="24"/>
        </w:rPr>
      </w:pPr>
      <w:r w:rsidRPr="00BD3E14">
        <w:rPr>
          <w:rFonts w:ascii="Arial" w:eastAsia="平成明朝" w:hAnsi="Arial" w:cs="Arial"/>
          <w:i/>
          <w:sz w:val="24"/>
          <w:szCs w:val="24"/>
        </w:rPr>
        <w:t>*</w:t>
      </w:r>
      <w:r w:rsidRPr="00BD3E14">
        <w:rPr>
          <w:rFonts w:ascii="Arial" w:eastAsia="HGSｺﾞｼｯｸE" w:hAnsi="Arial" w:cs="Arial"/>
          <w:i/>
          <w:sz w:val="24"/>
          <w:szCs w:val="24"/>
        </w:rPr>
        <w:t>Corresponding author:</w:t>
      </w:r>
      <w:r w:rsidRPr="00BD3E14">
        <w:rPr>
          <w:rFonts w:ascii="Arial" w:eastAsia="HGSｺﾞｼｯｸE" w:hAnsi="Arial" w:cs="Arial"/>
          <w:sz w:val="24"/>
          <w:szCs w:val="24"/>
        </w:rPr>
        <w:t xml:space="preserve"> Address: Department of Urology, Hamamatsu University School of Medicine, 1-20-1 </w:t>
      </w:r>
      <w:proofErr w:type="spellStart"/>
      <w:r w:rsidRPr="00BD3E14">
        <w:rPr>
          <w:rFonts w:ascii="Arial" w:eastAsia="HGSｺﾞｼｯｸE" w:hAnsi="Arial" w:cs="Arial"/>
          <w:sz w:val="24"/>
          <w:szCs w:val="24"/>
        </w:rPr>
        <w:t>Handayama</w:t>
      </w:r>
      <w:proofErr w:type="spellEnd"/>
      <w:r w:rsidRPr="00BD3E14">
        <w:rPr>
          <w:rFonts w:ascii="Arial" w:eastAsia="HGSｺﾞｼｯｸE" w:hAnsi="Arial" w:cs="Arial"/>
          <w:sz w:val="24"/>
          <w:szCs w:val="24"/>
        </w:rPr>
        <w:t>, Higashi-Ku, Hamamatsu 431-3192, Japan. Tel.: +81 534352306; Fax: +81 534352305.</w:t>
      </w:r>
    </w:p>
    <w:p w14:paraId="36DBE4E1" w14:textId="77777777" w:rsidR="00BD3E14" w:rsidRPr="00BD3E14" w:rsidRDefault="00BD3E14" w:rsidP="00BD3E14">
      <w:pPr>
        <w:widowControl/>
        <w:spacing w:after="0" w:line="360" w:lineRule="auto"/>
        <w:rPr>
          <w:rFonts w:ascii="Arial" w:eastAsia="HGSｺﾞｼｯｸE" w:hAnsi="Arial" w:cs="Arial"/>
          <w:sz w:val="24"/>
          <w:szCs w:val="24"/>
        </w:rPr>
      </w:pPr>
      <w:r w:rsidRPr="00BD3E14">
        <w:rPr>
          <w:rFonts w:ascii="Arial" w:eastAsia="HGSｺﾞｼｯｸE" w:hAnsi="Arial" w:cs="Arial"/>
          <w:i/>
          <w:sz w:val="24"/>
          <w:szCs w:val="24"/>
          <w:lang w:val="it-IT"/>
        </w:rPr>
        <w:t>E-mail address:</w:t>
      </w:r>
      <w:r w:rsidRPr="00BD3E14">
        <w:rPr>
          <w:rFonts w:ascii="Arial" w:eastAsia="HGSｺﾞｼｯｸE" w:hAnsi="Arial" w:cs="Arial"/>
          <w:sz w:val="24"/>
          <w:szCs w:val="24"/>
          <w:lang w:val="it-IT"/>
        </w:rPr>
        <w:t xml:space="preserve"> </w:t>
      </w:r>
      <w:r w:rsidRPr="00BD3E14">
        <w:rPr>
          <w:rFonts w:ascii="Arial" w:eastAsia="ＭＳ 明朝" w:hAnsi="Arial" w:cs="Arial"/>
          <w:color w:val="000000"/>
          <w:sz w:val="24"/>
          <w:szCs w:val="24"/>
        </w:rPr>
        <w:t>urohiro@hama-med.ac.jp</w:t>
      </w:r>
    </w:p>
    <w:p w14:paraId="166ADCF9" w14:textId="77777777" w:rsidR="00B3106B" w:rsidRDefault="00B3106B">
      <w:pPr>
        <w:rPr>
          <w:noProof/>
        </w:rPr>
      </w:pPr>
    </w:p>
    <w:p w14:paraId="6CE76343" w14:textId="77777777" w:rsidR="00AB09A5" w:rsidRDefault="00AB09A5">
      <w:pPr>
        <w:rPr>
          <w:noProof/>
        </w:rPr>
      </w:pPr>
    </w:p>
    <w:p w14:paraId="0D72E945" w14:textId="77777777" w:rsidR="00AB09A5" w:rsidRDefault="00AB09A5">
      <w:pPr>
        <w:rPr>
          <w:noProof/>
        </w:rPr>
      </w:pPr>
    </w:p>
    <w:p w14:paraId="6EFF27EF" w14:textId="77777777" w:rsidR="008128E1" w:rsidRDefault="008128E1">
      <w:pPr>
        <w:rPr>
          <w:noProof/>
        </w:rPr>
      </w:pPr>
    </w:p>
    <w:p w14:paraId="599DB8DC" w14:textId="77777777" w:rsidR="008128E1" w:rsidRDefault="008128E1">
      <w:pPr>
        <w:rPr>
          <w:noProof/>
        </w:rPr>
      </w:pPr>
    </w:p>
    <w:p w14:paraId="18CD2998" w14:textId="77777777" w:rsidR="00AB09A5" w:rsidRDefault="00AB09A5">
      <w:pPr>
        <w:rPr>
          <w:noProof/>
        </w:rPr>
      </w:pPr>
    </w:p>
    <w:p w14:paraId="22B65B93" w14:textId="77777777" w:rsidR="00AB09A5" w:rsidRDefault="00AB09A5">
      <w:pPr>
        <w:rPr>
          <w:noProof/>
        </w:rPr>
      </w:pPr>
    </w:p>
    <w:p w14:paraId="48C683D1" w14:textId="6949FC25" w:rsidR="00E54E80" w:rsidRPr="003B32DB" w:rsidRDefault="00040983">
      <w:pPr>
        <w:rPr>
          <w:rFonts w:ascii="Arial" w:hAnsi="Arial" w:cs="Arial"/>
        </w:rPr>
      </w:pPr>
      <w:r w:rsidRPr="00040983">
        <w:rPr>
          <w:rFonts w:ascii="Arial" w:hAnsi="Arial" w:cs="Arial"/>
          <w:b/>
          <w:bCs/>
          <w:noProof/>
        </w:rPr>
        <w:t>Supplementary Figure 1</w:t>
      </w:r>
      <w:r w:rsidR="004C7BB5">
        <w:rPr>
          <w:rFonts w:ascii="Arial" w:hAnsi="Arial" w:cs="Arial" w:hint="eastAsia"/>
          <w:b/>
          <w:bCs/>
          <w:noProof/>
        </w:rPr>
        <w:t>.</w:t>
      </w:r>
      <w:r w:rsidR="004C7BB5">
        <w:rPr>
          <w:rFonts w:ascii="Arial" w:hAnsi="Arial" w:cs="Arial"/>
          <w:b/>
          <w:bCs/>
          <w:noProof/>
        </w:rPr>
        <w:t xml:space="preserve"> </w:t>
      </w:r>
      <w:r w:rsidR="0085208E">
        <w:rPr>
          <w:rFonts w:ascii="Arial" w:hAnsi="Arial" w:cs="Arial" w:hint="eastAsia"/>
          <w:sz w:val="24"/>
        </w:rPr>
        <w:t xml:space="preserve">Effects of </w:t>
      </w:r>
      <w:proofErr w:type="spellStart"/>
      <w:r w:rsidR="0085208E">
        <w:rPr>
          <w:rFonts w:ascii="Arial" w:hAnsi="Arial" w:cs="Arial"/>
          <w:sz w:val="24"/>
        </w:rPr>
        <w:t>axitinib</w:t>
      </w:r>
      <w:proofErr w:type="spellEnd"/>
      <w:r w:rsidR="0085208E">
        <w:rPr>
          <w:rFonts w:ascii="Arial" w:hAnsi="Arial" w:cs="Arial" w:hint="eastAsia"/>
          <w:sz w:val="24"/>
        </w:rPr>
        <w:t xml:space="preserve"> treatment on </w:t>
      </w:r>
      <w:r w:rsidR="0085208E">
        <w:rPr>
          <w:rFonts w:ascii="Arial" w:hAnsi="Arial" w:cs="Arial"/>
          <w:sz w:val="24"/>
        </w:rPr>
        <w:t>programmed death- ligand 1 (PD-L1) and PD-L2</w:t>
      </w:r>
      <w:r w:rsidR="0085208E">
        <w:rPr>
          <w:rFonts w:ascii="Arial" w:hAnsi="Arial" w:cs="Arial" w:hint="eastAsia"/>
          <w:sz w:val="24"/>
        </w:rPr>
        <w:t xml:space="preserve"> expression in </w:t>
      </w:r>
      <w:proofErr w:type="spellStart"/>
      <w:r w:rsidR="0085208E">
        <w:rPr>
          <w:rFonts w:ascii="Arial" w:hAnsi="Arial" w:cs="Arial"/>
          <w:sz w:val="24"/>
        </w:rPr>
        <w:t>RenCa</w:t>
      </w:r>
      <w:proofErr w:type="spellEnd"/>
      <w:r w:rsidR="0085208E">
        <w:rPr>
          <w:rFonts w:ascii="Arial" w:hAnsi="Arial" w:cs="Arial" w:hint="eastAsia"/>
          <w:sz w:val="24"/>
        </w:rPr>
        <w:t xml:space="preserve"> cells.</w:t>
      </w:r>
      <w:r w:rsidR="0085208E">
        <w:rPr>
          <w:rFonts w:ascii="Arial" w:hAnsi="Arial" w:cs="Arial"/>
          <w:sz w:val="24"/>
        </w:rPr>
        <w:t xml:space="preserve"> </w:t>
      </w:r>
      <w:r w:rsidR="00C80BC7">
        <w:rPr>
          <w:rFonts w:ascii="Arial" w:hAnsi="Arial" w:cs="Arial"/>
          <w:sz w:val="24"/>
          <w:szCs w:val="24"/>
        </w:rPr>
        <w:t>O</w:t>
      </w:r>
      <w:r w:rsidR="00C80BC7" w:rsidRPr="003146DA">
        <w:rPr>
          <w:rFonts w:ascii="Arial" w:hAnsi="Arial" w:cs="Arial"/>
          <w:sz w:val="24"/>
          <w:szCs w:val="24"/>
        </w:rPr>
        <w:t>riginal blots/gels are presented</w:t>
      </w:r>
      <w:r w:rsidR="00C80BC7">
        <w:rPr>
          <w:rFonts w:ascii="Arial" w:hAnsi="Arial" w:cs="Arial"/>
          <w:sz w:val="24"/>
          <w:szCs w:val="24"/>
        </w:rPr>
        <w:t xml:space="preserve">. </w:t>
      </w:r>
      <w:r w:rsidR="00453E8D">
        <w:rPr>
          <w:rFonts w:ascii="Arial" w:hAnsi="Arial" w:cs="Arial"/>
          <w:sz w:val="24"/>
          <w:szCs w:val="24"/>
        </w:rPr>
        <w:t>“</w:t>
      </w:r>
      <w:r w:rsidR="006344C6" w:rsidRPr="00A20015">
        <w:rPr>
          <w:rFonts w:ascii="Arial" w:hAnsi="Arial" w:cs="Arial"/>
          <w:sz w:val="24"/>
          <w:szCs w:val="24"/>
        </w:rPr>
        <w:t>a</w:t>
      </w:r>
      <w:r w:rsidR="00453E8D">
        <w:rPr>
          <w:rFonts w:ascii="Arial" w:hAnsi="Arial" w:cs="Arial"/>
          <w:sz w:val="24"/>
          <w:szCs w:val="24"/>
        </w:rPr>
        <w:t xml:space="preserve"> (</w:t>
      </w:r>
      <w:r w:rsidR="00DA4C38" w:rsidRPr="00DA4C38">
        <w:rPr>
          <w:rFonts w:ascii="Arial" w:hAnsi="Arial" w:cs="Arial"/>
        </w:rPr>
        <w:t>Cultured interval</w:t>
      </w:r>
      <w:r w:rsidR="00453E8D">
        <w:rPr>
          <w:rFonts w:ascii="Arial" w:hAnsi="Arial" w:cs="Arial"/>
          <w:sz w:val="24"/>
          <w:szCs w:val="24"/>
        </w:rPr>
        <w:t>)”</w:t>
      </w:r>
      <w:r w:rsidR="006344C6" w:rsidRPr="00A20015">
        <w:rPr>
          <w:rFonts w:ascii="Arial" w:hAnsi="Arial" w:cs="Arial"/>
          <w:sz w:val="24"/>
          <w:szCs w:val="24"/>
        </w:rPr>
        <w:t xml:space="preserve"> </w:t>
      </w:r>
      <w:r w:rsidR="006A2F21">
        <w:rPr>
          <w:rFonts w:ascii="Arial" w:hAnsi="Arial" w:cs="Arial"/>
          <w:sz w:val="24"/>
          <w:szCs w:val="24"/>
        </w:rPr>
        <w:t>and</w:t>
      </w:r>
      <w:r w:rsidR="006344C6" w:rsidRPr="00A20015">
        <w:rPr>
          <w:rFonts w:ascii="Arial" w:hAnsi="Arial" w:cs="Arial"/>
          <w:sz w:val="24"/>
          <w:szCs w:val="24"/>
        </w:rPr>
        <w:t xml:space="preserve"> </w:t>
      </w:r>
      <w:r w:rsidR="00453E8D">
        <w:rPr>
          <w:rFonts w:ascii="Arial" w:hAnsi="Arial" w:cs="Arial"/>
          <w:sz w:val="24"/>
          <w:szCs w:val="24"/>
        </w:rPr>
        <w:t>“</w:t>
      </w:r>
      <w:r w:rsidR="006344C6" w:rsidRPr="00A20015">
        <w:rPr>
          <w:rFonts w:ascii="Arial" w:hAnsi="Arial" w:cs="Arial"/>
          <w:sz w:val="24"/>
          <w:szCs w:val="24"/>
        </w:rPr>
        <w:t>b</w:t>
      </w:r>
      <w:r w:rsidR="00DA4C38">
        <w:rPr>
          <w:rFonts w:ascii="Arial" w:hAnsi="Arial" w:cs="Arial"/>
          <w:sz w:val="24"/>
          <w:szCs w:val="24"/>
        </w:rPr>
        <w:t xml:space="preserve"> (</w:t>
      </w:r>
      <w:r w:rsidR="00DA4C38" w:rsidRPr="00DA4C38">
        <w:rPr>
          <w:rFonts w:ascii="Arial" w:hAnsi="Arial" w:cs="Arial"/>
        </w:rPr>
        <w:t xml:space="preserve">Concentration of </w:t>
      </w:r>
      <w:proofErr w:type="spellStart"/>
      <w:r w:rsidR="00DA4C38" w:rsidRPr="00DA4C38">
        <w:rPr>
          <w:rFonts w:ascii="Arial" w:hAnsi="Arial" w:cs="Arial"/>
        </w:rPr>
        <w:t>axitinib</w:t>
      </w:r>
      <w:proofErr w:type="spellEnd"/>
      <w:r w:rsidR="00DA4C38">
        <w:rPr>
          <w:rFonts w:ascii="Arial" w:hAnsi="Arial" w:cs="Arial"/>
          <w:sz w:val="24"/>
          <w:szCs w:val="24"/>
        </w:rPr>
        <w:t>)</w:t>
      </w:r>
      <w:r w:rsidR="00453E8D">
        <w:rPr>
          <w:rFonts w:ascii="Arial" w:hAnsi="Arial" w:cs="Arial"/>
          <w:sz w:val="24"/>
          <w:szCs w:val="24"/>
        </w:rPr>
        <w:t>”</w:t>
      </w:r>
      <w:r w:rsidR="006344C6" w:rsidRPr="00A20015">
        <w:rPr>
          <w:rFonts w:ascii="Arial" w:hAnsi="Arial" w:cs="Arial"/>
          <w:sz w:val="24"/>
          <w:szCs w:val="24"/>
        </w:rPr>
        <w:t xml:space="preserve"> use different </w:t>
      </w:r>
      <w:r w:rsidR="006344C6" w:rsidRPr="003146DA">
        <w:rPr>
          <w:rFonts w:ascii="Arial" w:hAnsi="Arial" w:cs="Arial"/>
          <w:sz w:val="24"/>
          <w:szCs w:val="24"/>
        </w:rPr>
        <w:t>blots/gels</w:t>
      </w:r>
      <w:r w:rsidR="006344C6" w:rsidRPr="00A20015">
        <w:rPr>
          <w:rFonts w:ascii="Arial" w:hAnsi="Arial" w:cs="Arial"/>
          <w:sz w:val="24"/>
          <w:szCs w:val="24"/>
        </w:rPr>
        <w:t xml:space="preserve"> for respectively.</w:t>
      </w:r>
      <w:r w:rsidR="006344C6" w:rsidRPr="003146DA"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noProof/>
        </w:rPr>
        <w:t xml:space="preserve">  </w:t>
      </w:r>
    </w:p>
    <w:p w14:paraId="68A7849B" w14:textId="4B34D7D3" w:rsidR="00E54E80" w:rsidRDefault="00F0012B">
      <w:r>
        <w:rPr>
          <w:noProof/>
        </w:rPr>
        <w:lastRenderedPageBreak/>
        <w:drawing>
          <wp:inline distT="0" distB="0" distL="0" distR="0" wp14:anchorId="0C95B91F" wp14:editId="1997E82E">
            <wp:extent cx="5111126" cy="7632251"/>
            <wp:effectExtent l="0" t="0" r="0" b="698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556" cy="7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50FD7" w14:textId="77777777" w:rsidR="00E54E80" w:rsidRDefault="00E54E80"/>
    <w:p w14:paraId="2A3EEDA7" w14:textId="290184E7" w:rsidR="00E54E80" w:rsidRDefault="00E54E80">
      <w:r>
        <w:rPr>
          <w:noProof/>
        </w:rPr>
        <w:lastRenderedPageBreak/>
        <w:drawing>
          <wp:inline distT="0" distB="0" distL="0" distR="0" wp14:anchorId="0C0C15D0" wp14:editId="3C215842">
            <wp:extent cx="5190409" cy="7716057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41" cy="7733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54E80" w:rsidSect="000E1590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F8"/>
    <w:rsid w:val="00040983"/>
    <w:rsid w:val="000E1590"/>
    <w:rsid w:val="0039146B"/>
    <w:rsid w:val="003B32DB"/>
    <w:rsid w:val="00453E8D"/>
    <w:rsid w:val="004C7BB5"/>
    <w:rsid w:val="006344C6"/>
    <w:rsid w:val="006A2F21"/>
    <w:rsid w:val="00764037"/>
    <w:rsid w:val="007D6CD3"/>
    <w:rsid w:val="008128E1"/>
    <w:rsid w:val="0085208E"/>
    <w:rsid w:val="009C51F8"/>
    <w:rsid w:val="00AB09A5"/>
    <w:rsid w:val="00AB22FB"/>
    <w:rsid w:val="00B3106B"/>
    <w:rsid w:val="00BD3E14"/>
    <w:rsid w:val="00C80BC7"/>
    <w:rsid w:val="00DA4C38"/>
    <w:rsid w:val="00E54E80"/>
    <w:rsid w:val="00F0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408F6"/>
  <w15:chartTrackingRefBased/>
  <w15:docId w15:val="{98402E43-B895-4C95-9B7F-26FFA287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C7BB5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Hiromitsu</dc:creator>
  <cp:keywords/>
  <dc:description/>
  <cp:lastModifiedBy>Watanabe Hiromitsu</cp:lastModifiedBy>
  <cp:revision>17</cp:revision>
  <dcterms:created xsi:type="dcterms:W3CDTF">2022-08-17T13:14:00Z</dcterms:created>
  <dcterms:modified xsi:type="dcterms:W3CDTF">2022-08-17T13:49:00Z</dcterms:modified>
</cp:coreProperties>
</file>