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80C" w:rsidRDefault="005901EA">
      <w:r>
        <w:rPr>
          <w:rFonts w:ascii="Arial" w:hAnsi="Arial" w:cs="Arial"/>
          <w:b/>
          <w:bCs/>
        </w:rPr>
        <w:t xml:space="preserve">Supplementary Table 1: </w:t>
      </w:r>
      <w:r>
        <w:rPr>
          <w:rFonts w:ascii="Arial" w:hAnsi="Arial" w:cs="Arial"/>
        </w:rPr>
        <w:t xml:space="preserve">List of primary and secondary antibodies used in this study    </w:t>
      </w:r>
      <w:r>
        <w:rPr>
          <w:rFonts w:ascii="Arial" w:hAnsi="Arial" w:cs="Arial"/>
        </w:rPr>
        <w:br/>
        <w:t xml:space="preserve">                                        (Previously used by us in the references</w:t>
      </w:r>
      <w:r w:rsidR="001F590C">
        <w:rPr>
          <w:rFonts w:ascii="Arial" w:hAnsi="Arial" w:cs="Arial"/>
        </w:rPr>
        <w:t xml:space="preserve"> below</w:t>
      </w:r>
      <w:r>
        <w:rPr>
          <w:rFonts w:ascii="Arial" w:hAnsi="Arial" w:cs="Arial"/>
        </w:rPr>
        <w:t>: 1-7)</w:t>
      </w:r>
    </w:p>
    <w:tbl>
      <w:tblPr>
        <w:tblW w:w="10008" w:type="dxa"/>
        <w:tblCellMar>
          <w:left w:w="10" w:type="dxa"/>
          <w:right w:w="10" w:type="dxa"/>
        </w:tblCellMar>
        <w:tblLook w:val="0000" w:firstRow="0" w:lastRow="0" w:firstColumn="0" w:lastColumn="0" w:noHBand="0" w:noVBand="0"/>
      </w:tblPr>
      <w:tblGrid>
        <w:gridCol w:w="1884"/>
        <w:gridCol w:w="2005"/>
        <w:gridCol w:w="1088"/>
        <w:gridCol w:w="547"/>
        <w:gridCol w:w="2529"/>
        <w:gridCol w:w="898"/>
        <w:gridCol w:w="1057"/>
      </w:tblGrid>
      <w:tr w:rsidR="009B580C">
        <w:tc>
          <w:tcPr>
            <w:tcW w:w="18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after="0" w:line="240" w:lineRule="auto"/>
              <w:rPr>
                <w:rFonts w:ascii="Arial" w:hAnsi="Arial" w:cs="Arial"/>
                <w:b/>
                <w:bCs/>
                <w:color w:val="000000"/>
              </w:rPr>
            </w:pPr>
          </w:p>
          <w:p w:rsidR="009B580C" w:rsidRDefault="005901EA">
            <w:pPr>
              <w:spacing w:after="0" w:line="240" w:lineRule="auto"/>
              <w:rPr>
                <w:rFonts w:ascii="Arial" w:hAnsi="Arial" w:cs="Arial"/>
                <w:b/>
                <w:bCs/>
                <w:color w:val="000000"/>
              </w:rPr>
            </w:pPr>
            <w:r>
              <w:rPr>
                <w:rFonts w:ascii="Arial" w:hAnsi="Arial" w:cs="Arial"/>
                <w:b/>
                <w:bCs/>
                <w:color w:val="000000"/>
              </w:rPr>
              <w:t>Antibody</w:t>
            </w:r>
          </w:p>
        </w:tc>
        <w:tc>
          <w:tcPr>
            <w:tcW w:w="20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
                <w:bCs/>
                <w:kern w:val="3"/>
              </w:rPr>
            </w:pPr>
            <w:r>
              <w:rPr>
                <w:rFonts w:ascii="Arial" w:eastAsia="Times New Roman" w:hAnsi="Arial" w:cs="Arial"/>
                <w:b/>
                <w:bCs/>
                <w:kern w:val="3"/>
              </w:rPr>
              <w:t>Commercial Source</w:t>
            </w:r>
          </w:p>
        </w:tc>
        <w:tc>
          <w:tcPr>
            <w:tcW w:w="16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
                <w:bCs/>
                <w:kern w:val="3"/>
              </w:rPr>
            </w:pPr>
            <w:r>
              <w:rPr>
                <w:rFonts w:ascii="Arial" w:eastAsia="Times New Roman" w:hAnsi="Arial" w:cs="Arial"/>
                <w:b/>
                <w:bCs/>
                <w:kern w:val="3"/>
              </w:rPr>
              <w:t>Species</w:t>
            </w:r>
          </w:p>
        </w:tc>
        <w:tc>
          <w:tcPr>
            <w:tcW w:w="2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
                <w:bCs/>
                <w:kern w:val="3"/>
              </w:rPr>
            </w:pPr>
            <w:r>
              <w:rPr>
                <w:rFonts w:ascii="Arial" w:eastAsia="Times New Roman" w:hAnsi="Arial" w:cs="Arial"/>
                <w:b/>
                <w:bCs/>
                <w:kern w:val="3"/>
              </w:rPr>
              <w:t>Reference</w:t>
            </w:r>
          </w:p>
        </w:tc>
        <w:tc>
          <w:tcPr>
            <w:tcW w:w="19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jc w:val="center"/>
              <w:outlineLvl w:val="0"/>
              <w:rPr>
                <w:rFonts w:ascii="Arial" w:eastAsia="Times New Roman" w:hAnsi="Arial" w:cs="Arial"/>
                <w:b/>
                <w:bCs/>
                <w:kern w:val="3"/>
              </w:rPr>
            </w:pPr>
            <w:r>
              <w:rPr>
                <w:rFonts w:ascii="Arial" w:eastAsia="Times New Roman" w:hAnsi="Arial" w:cs="Arial"/>
                <w:b/>
                <w:bCs/>
                <w:kern w:val="3"/>
              </w:rPr>
              <w:t>Working Dilution</w:t>
            </w:r>
          </w:p>
        </w:tc>
      </w:tr>
      <w:tr w:rsidR="009B580C">
        <w:tc>
          <w:tcPr>
            <w:tcW w:w="18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after="0" w:line="240" w:lineRule="auto"/>
              <w:rPr>
                <w:rFonts w:ascii="Arial" w:hAnsi="Arial" w:cs="Arial"/>
                <w:b/>
                <w:bCs/>
              </w:rPr>
            </w:pPr>
          </w:p>
        </w:tc>
        <w:tc>
          <w:tcPr>
            <w:tcW w:w="20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line="240" w:lineRule="auto"/>
              <w:outlineLvl w:val="0"/>
              <w:rPr>
                <w:rFonts w:ascii="Arial" w:eastAsia="Times New Roman" w:hAnsi="Arial" w:cs="Arial"/>
                <w:b/>
                <w:bCs/>
                <w:kern w:val="3"/>
              </w:rPr>
            </w:pPr>
          </w:p>
        </w:tc>
        <w:tc>
          <w:tcPr>
            <w:tcW w:w="163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line="240" w:lineRule="auto"/>
              <w:outlineLvl w:val="0"/>
              <w:rPr>
                <w:rFonts w:ascii="Arial" w:eastAsia="Times New Roman" w:hAnsi="Arial" w:cs="Arial"/>
                <w:b/>
                <w:bCs/>
                <w:kern w:val="3"/>
              </w:rPr>
            </w:pPr>
          </w:p>
        </w:tc>
        <w:tc>
          <w:tcPr>
            <w:tcW w:w="2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line="240" w:lineRule="auto"/>
              <w:outlineLvl w:val="0"/>
              <w:rPr>
                <w:rFonts w:ascii="Arial" w:eastAsia="Times New Roman" w:hAnsi="Arial" w:cs="Arial"/>
                <w:b/>
                <w:bCs/>
                <w:kern w:val="3"/>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
                <w:bCs/>
                <w:kern w:val="3"/>
              </w:rPr>
            </w:pPr>
            <w:r>
              <w:rPr>
                <w:rFonts w:ascii="Arial" w:eastAsia="Times New Roman" w:hAnsi="Arial" w:cs="Arial"/>
                <w:b/>
                <w:bCs/>
                <w:kern w:val="3"/>
              </w:rPr>
              <w:t>IHC/IF</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jc w:val="center"/>
              <w:outlineLvl w:val="0"/>
              <w:rPr>
                <w:rFonts w:ascii="Arial" w:eastAsia="Times New Roman" w:hAnsi="Arial" w:cs="Arial"/>
                <w:b/>
                <w:bCs/>
                <w:kern w:val="3"/>
              </w:rPr>
            </w:pPr>
            <w:r>
              <w:rPr>
                <w:rFonts w:ascii="Arial" w:eastAsia="Times New Roman" w:hAnsi="Arial" w:cs="Arial"/>
                <w:b/>
                <w:bCs/>
                <w:kern w:val="3"/>
              </w:rPr>
              <w:t>IB</w:t>
            </w:r>
          </w:p>
        </w:tc>
      </w:tr>
      <w:tr w:rsidR="009B580C">
        <w:tc>
          <w:tcPr>
            <w:tcW w:w="1000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jc w:val="center"/>
              <w:outlineLvl w:val="0"/>
            </w:pPr>
            <w:r>
              <w:rPr>
                <w:rFonts w:ascii="Arial" w:hAnsi="Arial" w:cs="Arial"/>
                <w:b/>
                <w:sz w:val="24"/>
                <w:szCs w:val="24"/>
              </w:rPr>
              <w:t>Primary antibody</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Calreticulin (D3E6)</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Cell signaling</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12238S</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line="240" w:lineRule="auto"/>
              <w:outlineLvl w:val="0"/>
              <w:rPr>
                <w:rFonts w:ascii="Arial" w:eastAsia="Times New Roman" w:hAnsi="Arial" w:cs="Arial"/>
                <w:bCs/>
                <w:kern w:val="3"/>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line="240" w:lineRule="auto"/>
              <w:jc w:val="center"/>
              <w:outlineLvl w:val="0"/>
              <w:rPr>
                <w:rFonts w:ascii="Arial" w:eastAsia="Times New Roman" w:hAnsi="Arial" w:cs="Arial"/>
                <w:b/>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pPr>
            <w:r>
              <w:rPr>
                <w:rStyle w:val="normaltextrun"/>
                <w:rFonts w:ascii="Arial" w:hAnsi="Arial" w:cs="Arial"/>
                <w:lang w:val="de-DE"/>
              </w:rPr>
              <w:t>PKcα</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pPr>
            <w:r>
              <w:rPr>
                <w:rFonts w:ascii="Arial" w:eastAsia="Times New Roman" w:hAnsi="Arial" w:cs="Arial"/>
                <w:bCs/>
                <w:kern w:val="3"/>
              </w:rPr>
              <w:t>Abcam</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pPr>
            <w:r>
              <w:rPr>
                <w:rFonts w:ascii="Arial" w:hAnsi="Arial" w:cs="Arial"/>
                <w:color w:val="000000"/>
                <w:shd w:val="clear" w:color="auto" w:fill="FFFFFF"/>
              </w:rPr>
              <w:t>ab86715</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line="240" w:lineRule="auto"/>
              <w:jc w:val="center"/>
              <w:outlineLvl w:val="0"/>
              <w:rPr>
                <w:rFonts w:ascii="Arial" w:eastAsia="Times New Roman" w:hAnsi="Arial" w:cs="Arial"/>
                <w:b/>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pPr>
            <w:r>
              <w:rPr>
                <w:rFonts w:ascii="Arial" w:hAnsi="Arial" w:cs="Arial"/>
                <w:color w:val="000000"/>
                <w:shd w:val="clear" w:color="auto" w:fill="FFFFFF"/>
              </w:rPr>
              <w:t>Cabp</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Sigma Aldrich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hAnsi="Arial" w:cs="Arial"/>
                <w:color w:val="000000"/>
                <w:shd w:val="clear" w:color="auto" w:fill="FFFFFF"/>
              </w:rPr>
            </w:pPr>
            <w:r>
              <w:rPr>
                <w:rFonts w:ascii="Arial" w:hAnsi="Arial" w:cs="Arial"/>
                <w:color w:val="000000"/>
                <w:shd w:val="clear" w:color="auto" w:fill="FFFFFF"/>
              </w:rPr>
              <w:t>C9848</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line="240" w:lineRule="auto"/>
              <w:jc w:val="center"/>
              <w:outlineLvl w:val="0"/>
              <w:rPr>
                <w:rFonts w:ascii="Arial" w:eastAsia="Times New Roman" w:hAnsi="Arial" w:cs="Arial"/>
                <w:b/>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pPr>
            <w:r>
              <w:rPr>
                <w:rFonts w:ascii="Arial" w:hAnsi="Arial" w:cs="Arial"/>
                <w:color w:val="000000"/>
                <w:shd w:val="clear" w:color="auto" w:fill="FFFFFF"/>
              </w:rPr>
              <w:t>Cabp</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Abcam</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hAnsi="Arial" w:cs="Arial"/>
                <w:color w:val="000000"/>
                <w:shd w:val="clear" w:color="auto" w:fill="FFFFFF"/>
              </w:rPr>
            </w:pPr>
            <w:r>
              <w:rPr>
                <w:rFonts w:ascii="Arial" w:hAnsi="Arial" w:cs="Arial"/>
                <w:color w:val="000000"/>
                <w:shd w:val="clear" w:color="auto" w:fill="FFFFFF"/>
              </w:rPr>
              <w:t>ab11246</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line="240" w:lineRule="auto"/>
              <w:jc w:val="center"/>
              <w:outlineLvl w:val="0"/>
              <w:rPr>
                <w:rFonts w:ascii="Arial" w:eastAsia="Times New Roman" w:hAnsi="Arial" w:cs="Arial"/>
                <w:b/>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Anti-GRP78 (Bip)</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BD Biosciences</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610978</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jc w:val="center"/>
              <w:outlineLvl w:val="0"/>
            </w:pPr>
            <w:r>
              <w:rPr>
                <w:rFonts w:ascii="Arial" w:eastAsia="Times New Roman" w:hAnsi="Arial" w:cs="Arial"/>
                <w:bCs/>
                <w:kern w:val="3"/>
              </w:rPr>
              <w:t>1:1000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Anti-pPERK</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Cell signalling</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3179S</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jc w:val="center"/>
              <w:outlineLvl w:val="0"/>
              <w:rPr>
                <w:rFonts w:ascii="Arial" w:eastAsia="Times New Roman" w:hAnsi="Arial" w:cs="Arial"/>
                <w:b/>
                <w:bCs/>
                <w:kern w:val="3"/>
              </w:rPr>
            </w:pPr>
            <w:r>
              <w:rPr>
                <w:rFonts w:ascii="Arial" w:eastAsia="Times New Roman" w:hAnsi="Arial" w:cs="Arial"/>
                <w:b/>
                <w:bCs/>
                <w:kern w:val="3"/>
              </w:rPr>
              <w:t>1:1000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Anti-PDI</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Cell signalling</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2446S</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jc w:val="center"/>
              <w:outlineLvl w:val="0"/>
              <w:rPr>
                <w:rFonts w:ascii="Arial" w:eastAsia="Times New Roman" w:hAnsi="Arial" w:cs="Arial"/>
                <w:b/>
                <w:bCs/>
                <w:kern w:val="3"/>
              </w:rPr>
            </w:pPr>
            <w:r>
              <w:rPr>
                <w:rFonts w:ascii="Arial" w:eastAsia="Times New Roman" w:hAnsi="Arial" w:cs="Arial"/>
                <w:b/>
                <w:bCs/>
                <w:kern w:val="3"/>
              </w:rPr>
              <w:t>1:1000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Anti-GADD 153 (R-20)</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Santa Cruz Biotech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SC-793</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jc w:val="center"/>
              <w:outlineLvl w:val="0"/>
              <w:rPr>
                <w:rFonts w:ascii="Arial" w:eastAsia="Times New Roman" w:hAnsi="Arial" w:cs="Arial"/>
                <w:b/>
                <w:bCs/>
                <w:kern w:val="3"/>
              </w:rPr>
            </w:pPr>
            <w:r>
              <w:rPr>
                <w:rFonts w:ascii="Arial" w:eastAsia="Times New Roman" w:hAnsi="Arial" w:cs="Arial"/>
                <w:b/>
                <w:bCs/>
                <w:kern w:val="3"/>
              </w:rPr>
              <w:t>-</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Anti-SigR1</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Proteintech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Rabbit polycl</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15168-1-AP</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jc w:val="center"/>
              <w:outlineLvl w:val="0"/>
              <w:rPr>
                <w:rFonts w:ascii="Arial" w:eastAsia="Times New Roman" w:hAnsi="Arial" w:cs="Arial"/>
                <w:b/>
                <w:bCs/>
                <w:kern w:val="3"/>
              </w:rPr>
            </w:pPr>
            <w:r>
              <w:rPr>
                <w:rFonts w:ascii="Arial" w:eastAsia="Times New Roman" w:hAnsi="Arial" w:cs="Arial"/>
                <w:b/>
                <w:bCs/>
                <w:kern w:val="3"/>
              </w:rPr>
              <w:t>-</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Anti-SigR1</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Sigma Aldrich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HPA018002</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jc w:val="center"/>
              <w:outlineLvl w:val="0"/>
              <w:rPr>
                <w:rFonts w:ascii="Arial" w:eastAsia="Times New Roman" w:hAnsi="Arial" w:cs="Arial"/>
                <w:bCs/>
                <w:kern w:val="3"/>
              </w:rPr>
            </w:pPr>
            <w:r>
              <w:rPr>
                <w:rFonts w:ascii="Arial" w:eastAsia="Times New Roman" w:hAnsi="Arial" w:cs="Arial"/>
                <w:bCs/>
                <w:kern w:val="3"/>
              </w:rPr>
              <w:t>1:1000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Anti-SigR1</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 xml:space="preserve">Santa Cruz </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 xml:space="preserve">Mouse </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pPr>
            <w:r>
              <w:rPr>
                <w:rFonts w:ascii="Arial" w:hAnsi="Arial" w:cs="Arial"/>
                <w:lang w:val="en-GB"/>
              </w:rPr>
              <w:t>Sc-166392</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rPr>
                <w:rFonts w:ascii="Arial" w:eastAsia="Times New Roman" w:hAnsi="Arial" w:cs="Arial"/>
                <w:bCs/>
                <w:kern w:val="3"/>
              </w:rPr>
            </w:pPr>
            <w:r>
              <w:rPr>
                <w:rFonts w:ascii="Arial" w:eastAsia="Times New Roman" w:hAnsi="Arial" w:cs="Arial"/>
                <w:bCs/>
                <w:kern w:val="3"/>
              </w:rPr>
              <w:t>1:50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line="240" w:lineRule="auto"/>
              <w:outlineLvl w:val="0"/>
            </w:pPr>
            <w:r>
              <w:rPr>
                <w:rFonts w:ascii="Arial" w:eastAsia="Times New Roman" w:hAnsi="Arial" w:cs="Arial"/>
                <w:bCs/>
                <w:kern w:val="3"/>
              </w:rPr>
              <w:t>1:1000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Anti-P62/SQSTM1</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MBL</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PM045</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1:200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1:5000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Anti-P62/SQSTM1</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pPr>
            <w:r>
              <w:rPr>
                <w:rFonts w:ascii="Arial" w:hAnsi="Arial" w:cs="Arial"/>
                <w:color w:val="000000"/>
              </w:rPr>
              <w:t xml:space="preserve">Sigma </w:t>
            </w:r>
            <w:r>
              <w:rPr>
                <w:rFonts w:ascii="Arial" w:hAnsi="Arial" w:cs="Arial"/>
                <w:lang w:val="en-GB"/>
              </w:rPr>
              <w:t>Aldrich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P0067</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1:5000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Anti-P62/SQSTM1</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Abcam</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Ab56416</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Anti-LC3</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pPr>
            <w:r>
              <w:rPr>
                <w:rFonts w:ascii="Arial" w:hAnsi="Arial" w:cs="Arial"/>
                <w:color w:val="000000"/>
              </w:rPr>
              <w:t xml:space="preserve">Sigma </w:t>
            </w:r>
            <w:r>
              <w:rPr>
                <w:rFonts w:ascii="Arial" w:hAnsi="Arial" w:cs="Arial"/>
                <w:lang w:val="en-GB"/>
              </w:rPr>
              <w:t>Aldrich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lang w:val="en-GB"/>
              </w:rPr>
            </w:pPr>
            <w:r>
              <w:rPr>
                <w:rFonts w:ascii="Arial" w:hAnsi="Arial" w:cs="Arial"/>
                <w:lang w:val="en-GB"/>
              </w:rPr>
              <w:t>L7543</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1:5000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Anti-pTDP43</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Cosmo Bio Co. LTD</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TIP-PTD-M01</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1:5000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
                <w:bCs/>
                <w:kern w:val="3"/>
              </w:rPr>
            </w:pPr>
            <w:r>
              <w:rPr>
                <w:rFonts w:ascii="Arial" w:eastAsia="Times New Roman" w:hAnsi="Arial" w:cs="Arial"/>
                <w:b/>
                <w:bCs/>
                <w:kern w:val="3"/>
              </w:rPr>
              <w:t>-</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Anti-TDP-43 C-terminus (405-414)</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Cosmo Bio Co. LTD</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TIP-TD-P09</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kern w:val="3"/>
              </w:rPr>
            </w:pPr>
            <w:r>
              <w:rPr>
                <w:rFonts w:ascii="Arial" w:eastAsia="Times New Roman" w:hAnsi="Arial" w:cs="Arial"/>
                <w:kern w:val="3"/>
              </w:rPr>
              <w:t>1:100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Anti-TDP43</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Abcam</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Ab57105</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1:1000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Anti-Matrin3</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Bethyl</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IHC-00081</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1:200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color w:val="000000"/>
                <w:kern w:val="3"/>
              </w:rPr>
            </w:pPr>
            <w:r>
              <w:rPr>
                <w:rFonts w:ascii="Arial" w:eastAsia="Times New Roman" w:hAnsi="Arial" w:cs="Arial"/>
                <w:bCs/>
                <w:color w:val="000000"/>
                <w:kern w:val="3"/>
              </w:rPr>
              <w:t>-</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lastRenderedPageBreak/>
              <w:t>Anti-Matrin3</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Bethyl</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A300-591A</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color w:val="000000"/>
                <w:kern w:val="3"/>
              </w:rPr>
            </w:pPr>
            <w:r>
              <w:rPr>
                <w:rFonts w:ascii="Arial" w:eastAsia="Times New Roman" w:hAnsi="Arial" w:cs="Arial"/>
                <w:bCs/>
                <w:color w:val="000000"/>
                <w:kern w:val="3"/>
              </w:rPr>
              <w:t>1:1000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Anti-Fus</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Novus Biologicals</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NB100-2599</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color w:val="000000"/>
                <w:kern w:val="3"/>
              </w:rPr>
            </w:pPr>
            <w:r>
              <w:rPr>
                <w:rFonts w:ascii="Arial" w:eastAsia="Times New Roman" w:hAnsi="Arial" w:cs="Arial"/>
                <w:bCs/>
                <w:color w:val="000000"/>
                <w:kern w:val="3"/>
              </w:rPr>
              <w:t>1:1000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Anti-Fus</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Sigma Aldrich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AMAb90549</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color w:val="000000"/>
                <w:kern w:val="3"/>
              </w:rPr>
            </w:pPr>
            <w:r>
              <w:rPr>
                <w:rFonts w:ascii="Arial" w:eastAsia="Times New Roman" w:hAnsi="Arial" w:cs="Arial"/>
                <w:bCs/>
                <w:color w:val="000000"/>
                <w:kern w:val="3"/>
              </w:rPr>
              <w:t>1:1000</w:t>
            </w:r>
          </w:p>
        </w:tc>
      </w:tr>
      <w:tr w:rsidR="009B580C">
        <w:trPr>
          <w:trHeight w:val="132"/>
        </w:trPr>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color w:val="000000"/>
              </w:rPr>
            </w:pPr>
            <w:r>
              <w:rPr>
                <w:rFonts w:ascii="Arial" w:hAnsi="Arial" w:cs="Arial"/>
                <w:color w:val="000000"/>
              </w:rPr>
              <w:t>Anti-TIAR</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BD Biosciences</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610352</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color w:val="000000"/>
                <w:kern w:val="3"/>
              </w:rPr>
            </w:pPr>
            <w:r>
              <w:rPr>
                <w:rFonts w:ascii="Arial" w:eastAsia="Times New Roman" w:hAnsi="Arial" w:cs="Arial"/>
                <w:bCs/>
                <w:color w:val="000000"/>
                <w:kern w:val="3"/>
              </w:rPr>
              <w:t>1:1000</w:t>
            </w:r>
          </w:p>
        </w:tc>
      </w:tr>
      <w:tr w:rsidR="009B580C">
        <w:trPr>
          <w:trHeight w:val="132"/>
        </w:trPr>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color w:val="000000"/>
              </w:rPr>
            </w:pPr>
            <w:r>
              <w:rPr>
                <w:rFonts w:ascii="Arial" w:hAnsi="Arial" w:cs="Arial"/>
                <w:color w:val="000000"/>
              </w:rPr>
              <w:t>Anti-EWSR1</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Sigma Aldrich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outlineLvl w:val="0"/>
              <w:rPr>
                <w:rFonts w:ascii="Arial" w:eastAsia="Times New Roman" w:hAnsi="Arial" w:cs="Arial"/>
                <w:bCs/>
                <w:kern w:val="3"/>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color w:val="000000"/>
                <w:kern w:val="3"/>
              </w:rPr>
            </w:pPr>
            <w:r>
              <w:rPr>
                <w:rFonts w:ascii="Arial" w:eastAsia="Times New Roman" w:hAnsi="Arial" w:cs="Arial"/>
                <w:bCs/>
                <w:color w:val="000000"/>
                <w:kern w:val="3"/>
              </w:rPr>
              <w:t>1:1000</w:t>
            </w:r>
          </w:p>
        </w:tc>
      </w:tr>
      <w:tr w:rsidR="009B580C">
        <w:trPr>
          <w:trHeight w:val="132"/>
        </w:trPr>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color w:val="000000"/>
              </w:rPr>
            </w:pPr>
            <w:r>
              <w:rPr>
                <w:rFonts w:ascii="Arial" w:hAnsi="Arial" w:cs="Arial"/>
                <w:color w:val="000000"/>
              </w:rPr>
              <w:t>Anti-TAFII68</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Bethyl</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Rabbit</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IHC-00094</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color w:val="000000"/>
                <w:kern w:val="3"/>
              </w:rPr>
            </w:pPr>
            <w:r>
              <w:rPr>
                <w:rFonts w:ascii="Arial" w:eastAsia="Times New Roman" w:hAnsi="Arial" w:cs="Arial"/>
                <w:bCs/>
                <w:color w:val="000000"/>
                <w:kern w:val="3"/>
              </w:rPr>
              <w:t>1:1000</w:t>
            </w:r>
          </w:p>
        </w:tc>
      </w:tr>
      <w:tr w:rsidR="009B580C">
        <w:trPr>
          <w:trHeight w:val="132"/>
        </w:trPr>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color w:val="000000"/>
              </w:rPr>
            </w:pPr>
            <w:r>
              <w:rPr>
                <w:rFonts w:ascii="Arial" w:hAnsi="Arial" w:cs="Arial"/>
                <w:color w:val="000000"/>
              </w:rPr>
              <w:t>Anti-hnRNP A1</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Novus Biologicals</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NB100-672</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color w:val="000000"/>
                <w:kern w:val="3"/>
              </w:rPr>
            </w:pPr>
            <w:r>
              <w:rPr>
                <w:rFonts w:ascii="Arial" w:eastAsia="Times New Roman" w:hAnsi="Arial" w:cs="Arial"/>
                <w:bCs/>
                <w:color w:val="000000"/>
                <w:kern w:val="3"/>
              </w:rPr>
              <w:t>1:1000</w:t>
            </w:r>
          </w:p>
        </w:tc>
      </w:tr>
      <w:tr w:rsidR="009B580C">
        <w:trPr>
          <w:trHeight w:val="132"/>
        </w:trPr>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color w:val="000000"/>
              </w:rPr>
            </w:pPr>
            <w:r>
              <w:rPr>
                <w:rFonts w:ascii="Arial" w:hAnsi="Arial" w:cs="Arial"/>
                <w:color w:val="000000"/>
              </w:rPr>
              <w:t>Anti-hnRNP A2/B1</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Santa Cruz Biotech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SC-32316</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rPr>
                <w:rFonts w:ascii="Arial" w:hAnsi="Arial" w:cs="Arial"/>
              </w:rPr>
            </w:pPr>
            <w:r>
              <w:rPr>
                <w:rFonts w:ascii="Arial" w:hAnsi="Arial" w:cs="Arial"/>
              </w:rPr>
              <w:t>1:100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rPr>
                <w:rFonts w:ascii="Arial" w:hAnsi="Arial" w:cs="Arial"/>
              </w:rPr>
            </w:pPr>
            <w:r>
              <w:rPr>
                <w:rFonts w:ascii="Arial" w:hAnsi="Arial" w:cs="Arial"/>
              </w:rPr>
              <w:t>1:1000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Αnti α-Tubulin</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pPr>
            <w:r>
              <w:rPr>
                <w:rFonts w:ascii="Arial" w:hAnsi="Arial" w:cs="Arial"/>
                <w:color w:val="000000"/>
              </w:rPr>
              <w:t xml:space="preserve">Sigma </w:t>
            </w:r>
            <w:r>
              <w:rPr>
                <w:rFonts w:ascii="Arial" w:hAnsi="Arial" w:cs="Arial"/>
                <w:lang w:val="en-GB"/>
              </w:rPr>
              <w:t>Aldrich</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Mouse</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T5168</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1:1000</w:t>
            </w:r>
          </w:p>
        </w:tc>
      </w:tr>
      <w:tr w:rsidR="009B580C">
        <w:tc>
          <w:tcPr>
            <w:tcW w:w="1000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pPr>
            <w:r>
              <w:rPr>
                <w:rFonts w:ascii="Arial" w:eastAsia="Times New Roman" w:hAnsi="Arial" w:cs="Arial"/>
                <w:b/>
                <w:bCs/>
                <w:kern w:val="3"/>
              </w:rPr>
              <w:t>Secondary antibody</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Poly HRP-GAMs/Rb IgG</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pPr>
            <w:r>
              <w:rPr>
                <w:rFonts w:ascii="Arial" w:eastAsia="Times New Roman" w:hAnsi="Arial" w:cs="Arial"/>
                <w:bCs/>
                <w:kern w:val="3"/>
              </w:rPr>
              <w:t>Immunologic a VWR</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Ms/Rb</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VWRKDPVB500HRP</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Read-to-use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jc w:val="center"/>
              <w:outlineLvl w:val="0"/>
              <w:rPr>
                <w:rFonts w:ascii="Arial" w:eastAsia="Times New Roman" w:hAnsi="Arial" w:cs="Arial"/>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Poly HRP-Anti Goat IgG</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Immunologic a VWR</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Goat</w:t>
            </w:r>
          </w:p>
        </w:tc>
        <w:tc>
          <w:tcPr>
            <w:tcW w:w="3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VWRKDPVG110HRP</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Read-to-use</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jc w:val="center"/>
              <w:outlineLvl w:val="0"/>
              <w:rPr>
                <w:rFonts w:ascii="Arial" w:eastAsia="Times New Roman" w:hAnsi="Arial" w:cs="Arial"/>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Alexa Fluor 488 goat anti-mouse</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Life Technologies</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Goat</w:t>
            </w:r>
          </w:p>
        </w:tc>
        <w:tc>
          <w:tcPr>
            <w:tcW w:w="3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A11001</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1:500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jc w:val="center"/>
              <w:outlineLvl w:val="0"/>
              <w:rPr>
                <w:rFonts w:ascii="Arial" w:eastAsia="Times New Roman" w:hAnsi="Arial" w:cs="Arial"/>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Alexa Fluor 555 goat anti-mouse</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Life Technologies</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Goat</w:t>
            </w:r>
          </w:p>
        </w:tc>
        <w:tc>
          <w:tcPr>
            <w:tcW w:w="3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A21424</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rPr>
                <w:rFonts w:ascii="Arial" w:eastAsia="Times New Roman" w:hAnsi="Arial" w:cs="Arial"/>
                <w:bCs/>
                <w:kern w:val="3"/>
              </w:rPr>
            </w:pPr>
            <w:r>
              <w:rPr>
                <w:rFonts w:ascii="Arial" w:eastAsia="Times New Roman" w:hAnsi="Arial" w:cs="Arial"/>
                <w:bCs/>
                <w:kern w:val="3"/>
              </w:rPr>
              <w:t>1:500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jc w:val="center"/>
              <w:outlineLvl w:val="0"/>
              <w:rPr>
                <w:rFonts w:ascii="Arial" w:eastAsia="Times New Roman" w:hAnsi="Arial" w:cs="Arial"/>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Alexa Fluor 488 goat anti-rabbit</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Life Technologies</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Goat</w:t>
            </w:r>
          </w:p>
        </w:tc>
        <w:tc>
          <w:tcPr>
            <w:tcW w:w="3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A11008</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rPr>
                <w:rFonts w:ascii="Arial" w:eastAsia="Times New Roman" w:hAnsi="Arial" w:cs="Arial"/>
                <w:bCs/>
                <w:kern w:val="3"/>
              </w:rPr>
            </w:pPr>
            <w:r>
              <w:rPr>
                <w:rFonts w:ascii="Arial" w:eastAsia="Times New Roman" w:hAnsi="Arial" w:cs="Arial"/>
                <w:bCs/>
                <w:kern w:val="3"/>
              </w:rPr>
              <w:t>1:500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jc w:val="center"/>
              <w:outlineLvl w:val="0"/>
              <w:rPr>
                <w:rFonts w:ascii="Arial" w:eastAsia="Times New Roman" w:hAnsi="Arial" w:cs="Arial"/>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Alexa Fluor 546 goat anti-rabbit</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Life Technologies</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Goat</w:t>
            </w:r>
          </w:p>
        </w:tc>
        <w:tc>
          <w:tcPr>
            <w:tcW w:w="3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 xml:space="preserve"> A11010</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rPr>
                <w:rFonts w:ascii="Arial" w:eastAsia="Times New Roman" w:hAnsi="Arial" w:cs="Arial"/>
                <w:bCs/>
                <w:kern w:val="3"/>
              </w:rPr>
            </w:pPr>
            <w:r>
              <w:rPr>
                <w:rFonts w:ascii="Arial" w:eastAsia="Times New Roman" w:hAnsi="Arial" w:cs="Arial"/>
                <w:bCs/>
                <w:kern w:val="3"/>
              </w:rPr>
              <w:t>1:500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jc w:val="center"/>
              <w:outlineLvl w:val="0"/>
              <w:rPr>
                <w:rFonts w:ascii="Arial" w:eastAsia="Times New Roman" w:hAnsi="Arial" w:cs="Arial"/>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Alexa Fluor 488 donkey anti-goat</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Life Technologies</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Donkey</w:t>
            </w:r>
          </w:p>
        </w:tc>
        <w:tc>
          <w:tcPr>
            <w:tcW w:w="3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A11055</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rPr>
                <w:rFonts w:ascii="Arial" w:eastAsia="Times New Roman" w:hAnsi="Arial" w:cs="Arial"/>
                <w:bCs/>
                <w:kern w:val="3"/>
              </w:rPr>
            </w:pPr>
            <w:r>
              <w:rPr>
                <w:rFonts w:ascii="Arial" w:eastAsia="Times New Roman" w:hAnsi="Arial" w:cs="Arial"/>
                <w:bCs/>
                <w:kern w:val="3"/>
              </w:rPr>
              <w:t>1:500</w:t>
            </w: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jc w:val="center"/>
              <w:outlineLvl w:val="0"/>
              <w:rPr>
                <w:rFonts w:ascii="Arial" w:eastAsia="Times New Roman" w:hAnsi="Arial" w:cs="Arial"/>
                <w:bCs/>
                <w:kern w:val="3"/>
              </w:rPr>
            </w:pP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Goat anti-mouse IgG (H+L), HRP</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Thermo Scientific</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Goat</w:t>
            </w:r>
          </w:p>
        </w:tc>
        <w:tc>
          <w:tcPr>
            <w:tcW w:w="3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31430</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jc w:val="center"/>
              <w:outlineLvl w:val="0"/>
              <w:rPr>
                <w:rFonts w:ascii="Arial" w:eastAsia="Times New Roman" w:hAnsi="Arial" w:cs="Arial"/>
                <w:bCs/>
                <w:color w:val="FF0000"/>
                <w:kern w:val="3"/>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1:10000</w:t>
            </w:r>
          </w:p>
        </w:tc>
      </w:tr>
      <w:tr w:rsidR="009B580C">
        <w:tc>
          <w:tcPr>
            <w:tcW w:w="1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after="0" w:line="240" w:lineRule="auto"/>
              <w:rPr>
                <w:rFonts w:ascii="Arial" w:hAnsi="Arial" w:cs="Arial"/>
              </w:rPr>
            </w:pPr>
            <w:r>
              <w:rPr>
                <w:rFonts w:ascii="Arial" w:hAnsi="Arial" w:cs="Arial"/>
              </w:rPr>
              <w:t>Goat anti-rabbit IgG (H+L), HRP</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Thermo Scientific</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eastAsia="Times New Roman" w:hAnsi="Arial" w:cs="Arial"/>
                <w:bCs/>
                <w:kern w:val="3"/>
              </w:rPr>
            </w:pPr>
            <w:r>
              <w:rPr>
                <w:rFonts w:ascii="Arial" w:eastAsia="Times New Roman" w:hAnsi="Arial" w:cs="Arial"/>
                <w:bCs/>
                <w:kern w:val="3"/>
              </w:rPr>
              <w:t>Goat</w:t>
            </w:r>
          </w:p>
        </w:tc>
        <w:tc>
          <w:tcPr>
            <w:tcW w:w="30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outlineLvl w:val="0"/>
              <w:rPr>
                <w:rFonts w:ascii="Arial" w:hAnsi="Arial" w:cs="Arial"/>
                <w:color w:val="000000"/>
                <w:lang w:val="en-GB"/>
              </w:rPr>
            </w:pPr>
            <w:r>
              <w:rPr>
                <w:rFonts w:ascii="Arial" w:hAnsi="Arial" w:cs="Arial"/>
                <w:color w:val="000000"/>
                <w:lang w:val="en-GB"/>
              </w:rPr>
              <w:t>31460</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9B580C">
            <w:pPr>
              <w:spacing w:before="100" w:after="100"/>
              <w:jc w:val="center"/>
              <w:outlineLvl w:val="0"/>
              <w:rPr>
                <w:rFonts w:ascii="Arial" w:eastAsia="Times New Roman" w:hAnsi="Arial" w:cs="Arial"/>
                <w:bCs/>
                <w:color w:val="FF0000"/>
                <w:kern w:val="3"/>
              </w:rPr>
            </w:pPr>
          </w:p>
        </w:tc>
        <w:tc>
          <w:tcPr>
            <w:tcW w:w="10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80C" w:rsidRDefault="005901EA">
            <w:pPr>
              <w:spacing w:before="100" w:after="100"/>
              <w:jc w:val="center"/>
              <w:outlineLvl w:val="0"/>
              <w:rPr>
                <w:rFonts w:ascii="Arial" w:eastAsia="Times New Roman" w:hAnsi="Arial" w:cs="Arial"/>
                <w:bCs/>
                <w:kern w:val="3"/>
              </w:rPr>
            </w:pPr>
            <w:r>
              <w:rPr>
                <w:rFonts w:ascii="Arial" w:eastAsia="Times New Roman" w:hAnsi="Arial" w:cs="Arial"/>
                <w:bCs/>
                <w:kern w:val="3"/>
              </w:rPr>
              <w:t>1:10000</w:t>
            </w:r>
          </w:p>
        </w:tc>
      </w:tr>
    </w:tbl>
    <w:p w:rsidR="009B580C" w:rsidRDefault="009B580C">
      <w:pPr>
        <w:rPr>
          <w:rFonts w:ascii="Arial" w:hAnsi="Arial" w:cs="Arial"/>
        </w:rPr>
      </w:pPr>
    </w:p>
    <w:p w:rsidR="009B580C" w:rsidRDefault="009B580C">
      <w:pPr>
        <w:jc w:val="right"/>
      </w:pPr>
    </w:p>
    <w:p w:rsidR="009B580C" w:rsidRDefault="005901EA">
      <w:pPr>
        <w:rPr>
          <w:rFonts w:cs="Arial"/>
          <w:b/>
          <w:lang w:val="en-GB"/>
        </w:rPr>
      </w:pPr>
      <w:r>
        <w:rPr>
          <w:rFonts w:cs="Arial"/>
          <w:b/>
          <w:lang w:val="en-GB"/>
        </w:rPr>
        <w:t>REFERENCES</w:t>
      </w:r>
    </w:p>
    <w:p w:rsidR="009B580C" w:rsidRDefault="005901EA" w:rsidP="001F590C">
      <w:pPr>
        <w:pStyle w:val="Listenabsatz"/>
        <w:widowControl w:val="0"/>
        <w:numPr>
          <w:ilvl w:val="0"/>
          <w:numId w:val="1"/>
        </w:numPr>
        <w:tabs>
          <w:tab w:val="left" w:pos="910"/>
          <w:tab w:val="left" w:pos="911"/>
        </w:tabs>
        <w:autoSpaceDE w:val="0"/>
        <w:spacing w:before="154" w:after="0" w:line="360" w:lineRule="auto"/>
        <w:ind w:right="586"/>
        <w:jc w:val="both"/>
      </w:pPr>
      <w:r>
        <w:rPr>
          <w:noProof/>
        </w:rPr>
        <mc:AlternateContent>
          <mc:Choice Requires="wps">
            <w:drawing>
              <wp:anchor distT="0" distB="0" distL="114300" distR="114300" simplePos="0" relativeHeight="251659264" behindDoc="1" locked="0" layoutInCell="1" allowOverlap="1">
                <wp:simplePos x="0" y="0"/>
                <wp:positionH relativeFrom="page">
                  <wp:posOffset>6071231</wp:posOffset>
                </wp:positionH>
                <wp:positionV relativeFrom="paragraph">
                  <wp:posOffset>678813</wp:posOffset>
                </wp:positionV>
                <wp:extent cx="27303" cy="6345"/>
                <wp:effectExtent l="0" t="0" r="0" b="0"/>
                <wp:wrapNone/>
                <wp:docPr id="1" name="Rectangle 4"/>
                <wp:cNvGraphicFramePr/>
                <a:graphic xmlns:a="http://schemas.openxmlformats.org/drawingml/2006/main">
                  <a:graphicData uri="http://schemas.microsoft.com/office/word/2010/wordprocessingShape">
                    <wps:wsp>
                      <wps:cNvSpPr/>
                      <wps:spPr>
                        <a:xfrm>
                          <a:off x="0" y="0"/>
                          <a:ext cx="27303" cy="6345"/>
                        </a:xfrm>
                        <a:prstGeom prst="rect">
                          <a:avLst/>
                        </a:prstGeom>
                        <a:solidFill>
                          <a:srgbClr val="000000"/>
                        </a:solidFill>
                        <a:ln cap="flat">
                          <a:noFill/>
                          <a:prstDash val="solid"/>
                        </a:ln>
                      </wps:spPr>
                      <wps:bodyPr lIns="0" tIns="0" rIns="0" bIns="0"/>
                    </wps:wsp>
                  </a:graphicData>
                </a:graphic>
              </wp:anchor>
            </w:drawing>
          </mc:Choice>
          <mc:Fallback>
            <w:pict>
              <v:rect w14:anchorId="0B3C9085" id="Rectangle 4" o:spid="_x0000_s1026" style="position:absolute;margin-left:478.05pt;margin-top:53.45pt;width:2.15pt;height:.5pt;z-index:-251657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" fillcolor="black" stroked="f">
                <v:textbox inset="0,0,0,0"/>
                <w10:wrap anchorx="page"/>
              </v:rect>
            </w:pict>
          </mc:Fallback>
        </mc:AlternateContent>
      </w:r>
      <w:r w:rsidRPr="00405D25">
        <w:rPr>
          <w:rFonts w:ascii="Arial" w:hAnsi="Arial" w:cs="Arial"/>
          <w:lang w:val="en-GB"/>
        </w:rPr>
        <w:t xml:space="preserve">P Tripathi , </w:t>
      </w:r>
      <w:r w:rsidRPr="00405D25">
        <w:rPr>
          <w:rFonts w:ascii="Arial" w:hAnsi="Arial" w:cs="Arial"/>
          <w:spacing w:val="-3"/>
          <w:lang w:val="en-GB"/>
        </w:rPr>
        <w:t xml:space="preserve">Guo </w:t>
      </w:r>
      <w:r w:rsidRPr="00405D25">
        <w:rPr>
          <w:rFonts w:ascii="Arial" w:hAnsi="Arial" w:cs="Arial"/>
          <w:lang w:val="en-GB"/>
        </w:rPr>
        <w:t xml:space="preserve">H, Dreser A, </w:t>
      </w:r>
      <w:r w:rsidRPr="00405D25">
        <w:rPr>
          <w:rFonts w:ascii="Arial" w:hAnsi="Arial" w:cs="Arial"/>
          <w:bCs/>
          <w:lang w:val="en-GB"/>
        </w:rPr>
        <w:t>Yamoah A,</w:t>
      </w:r>
      <w:r w:rsidRPr="00405D25">
        <w:rPr>
          <w:rFonts w:ascii="Arial" w:hAnsi="Arial" w:cs="Arial"/>
          <w:lang w:val="en-GB"/>
        </w:rPr>
        <w:t xml:space="preserve"> Sechi A, Jesse CM, Katona I, Doukas P, Nikolin </w:t>
      </w:r>
      <w:r w:rsidRPr="00405D25">
        <w:rPr>
          <w:rFonts w:ascii="Arial" w:hAnsi="Arial" w:cs="Arial"/>
          <w:spacing w:val="-3"/>
          <w:lang w:val="en-GB"/>
        </w:rPr>
        <w:t xml:space="preserve">S, </w:t>
      </w:r>
      <w:r w:rsidRPr="00405D25">
        <w:rPr>
          <w:rFonts w:ascii="Arial" w:hAnsi="Arial" w:cs="Arial"/>
          <w:lang w:val="en-GB"/>
        </w:rPr>
        <w:t xml:space="preserve">Ernst S, Aronica E, Glass H, Hermann A, Steinbusch H, Alfred C Feller </w:t>
      </w:r>
      <w:r w:rsidRPr="00405D25">
        <w:rPr>
          <w:rFonts w:ascii="Arial" w:hAnsi="Arial" w:cs="Arial"/>
          <w:lang w:val="en-GB"/>
        </w:rPr>
        <w:lastRenderedPageBreak/>
        <w:t>AC, Bergmann M, Jaarsma D, Joachim Weis J, Goswami A</w:t>
      </w:r>
      <w:r w:rsidRPr="00405D25">
        <w:rPr>
          <w:rFonts w:ascii="Arial" w:hAnsi="Arial" w:cs="Arial"/>
          <w:b/>
          <w:lang w:val="en-GB"/>
        </w:rPr>
        <w:t xml:space="preserve">. </w:t>
      </w:r>
      <w:r w:rsidRPr="00405D25">
        <w:rPr>
          <w:rFonts w:ascii="Arial" w:hAnsi="Arial" w:cs="Arial"/>
          <w:bCs/>
          <w:i/>
          <w:lang w:val="en-GB"/>
        </w:rPr>
        <w:t xml:space="preserve">Pathomechanisms of ALS8: Altered autophagy </w:t>
      </w:r>
      <w:r w:rsidRPr="00405D25">
        <w:rPr>
          <w:rFonts w:ascii="Arial" w:hAnsi="Arial" w:cs="Arial"/>
          <w:bCs/>
          <w:i/>
          <w:spacing w:val="-3"/>
          <w:lang w:val="en-GB"/>
        </w:rPr>
        <w:t xml:space="preserve">and </w:t>
      </w:r>
      <w:r w:rsidRPr="00405D25">
        <w:rPr>
          <w:rFonts w:ascii="Arial" w:hAnsi="Arial" w:cs="Arial"/>
          <w:bCs/>
          <w:i/>
          <w:lang w:val="en-GB"/>
        </w:rPr>
        <w:t xml:space="preserve">defective RNA binding protein (RBP) homeostasis due </w:t>
      </w:r>
      <w:r w:rsidRPr="00405D25">
        <w:rPr>
          <w:rFonts w:ascii="Arial" w:hAnsi="Arial" w:cs="Arial"/>
          <w:bCs/>
          <w:i/>
          <w:spacing w:val="-3"/>
          <w:lang w:val="en-GB"/>
        </w:rPr>
        <w:t xml:space="preserve">to </w:t>
      </w:r>
      <w:r w:rsidRPr="00405D25">
        <w:rPr>
          <w:rFonts w:ascii="Arial" w:hAnsi="Arial" w:cs="Arial"/>
          <w:bCs/>
          <w:i/>
          <w:lang w:val="en-GB"/>
        </w:rPr>
        <w:t xml:space="preserve">the </w:t>
      </w:r>
      <w:r w:rsidRPr="00405D25">
        <w:rPr>
          <w:rFonts w:ascii="Arial" w:hAnsi="Arial" w:cs="Arial"/>
          <w:bCs/>
          <w:i/>
          <w:spacing w:val="-3"/>
          <w:lang w:val="en-GB"/>
        </w:rPr>
        <w:t xml:space="preserve">VAPB P56S </w:t>
      </w:r>
      <w:r w:rsidRPr="00405D25">
        <w:rPr>
          <w:rFonts w:ascii="Arial" w:hAnsi="Arial" w:cs="Arial"/>
          <w:bCs/>
          <w:i/>
          <w:lang w:val="en-GB"/>
        </w:rPr>
        <w:t xml:space="preserve">mutation. </w:t>
      </w:r>
      <w:r w:rsidRPr="001F590C">
        <w:rPr>
          <w:rFonts w:ascii="Arial" w:hAnsi="Arial" w:cs="Arial"/>
          <w:bCs/>
          <w:iCs/>
          <w:color w:val="000000"/>
        </w:rPr>
        <w:t>Cell Death Dis.</w:t>
      </w:r>
      <w:r w:rsidRPr="001F590C">
        <w:rPr>
          <w:rFonts w:ascii="Arial" w:hAnsi="Arial" w:cs="Arial"/>
          <w:bCs/>
          <w:i/>
          <w:color w:val="000000"/>
        </w:rPr>
        <w:t xml:space="preserve"> </w:t>
      </w:r>
      <w:r w:rsidRPr="001F590C">
        <w:rPr>
          <w:rFonts w:ascii="Arial" w:hAnsi="Arial" w:cs="Arial"/>
          <w:bCs/>
          <w:color w:val="000000"/>
        </w:rPr>
        <w:t xml:space="preserve">2021 </w:t>
      </w:r>
      <w:r w:rsidRPr="001F590C">
        <w:rPr>
          <w:rFonts w:ascii="Arial" w:hAnsi="Arial" w:cs="Arial"/>
          <w:bCs/>
        </w:rPr>
        <w:t>12(5):466</w:t>
      </w:r>
    </w:p>
    <w:p w:rsidR="009B580C" w:rsidRDefault="005901EA" w:rsidP="001F590C">
      <w:pPr>
        <w:pStyle w:val="Listenabsatz"/>
        <w:widowControl w:val="0"/>
        <w:numPr>
          <w:ilvl w:val="0"/>
          <w:numId w:val="1"/>
        </w:numPr>
        <w:tabs>
          <w:tab w:val="left" w:pos="910"/>
          <w:tab w:val="left" w:pos="911"/>
        </w:tabs>
        <w:autoSpaceDE w:val="0"/>
        <w:spacing w:before="154" w:after="0" w:line="360" w:lineRule="auto"/>
        <w:ind w:right="586"/>
      </w:pPr>
      <w:r w:rsidRPr="001F590C">
        <w:rPr>
          <w:rStyle w:val="fontstyle01"/>
          <w:rFonts w:ascii="Arial" w:hAnsi="Arial" w:cs="Arial"/>
          <w:b w:val="0"/>
          <w:bCs w:val="0"/>
        </w:rPr>
        <w:t>Yamoah A</w:t>
      </w:r>
      <w:r w:rsidRPr="001F590C">
        <w:rPr>
          <w:rStyle w:val="fontstyle21"/>
          <w:rFonts w:ascii="Arial" w:hAnsi="Arial" w:cs="Arial"/>
        </w:rPr>
        <w:t>, Tripathi P, Sechi A,</w:t>
      </w:r>
      <w:r w:rsidRPr="001F590C">
        <w:rPr>
          <w:rFonts w:ascii="Arial" w:hAnsi="Arial" w:cs="Arial"/>
          <w:color w:val="000000"/>
        </w:rPr>
        <w:t xml:space="preserve"> </w:t>
      </w:r>
      <w:r w:rsidRPr="001F590C">
        <w:rPr>
          <w:rStyle w:val="fontstyle21"/>
          <w:rFonts w:ascii="Arial" w:hAnsi="Arial" w:cs="Arial"/>
        </w:rPr>
        <w:t>Köhler C, Guo H, Chandrasekar A, Nolte KW, Wruck CJ, Katona I,</w:t>
      </w:r>
      <w:r w:rsidRPr="001F590C">
        <w:rPr>
          <w:rFonts w:ascii="Arial" w:hAnsi="Arial" w:cs="Arial"/>
          <w:color w:val="000000"/>
        </w:rPr>
        <w:t xml:space="preserve"> </w:t>
      </w:r>
      <w:r w:rsidRPr="001F590C">
        <w:rPr>
          <w:rStyle w:val="fontstyle21"/>
          <w:rFonts w:ascii="Arial" w:hAnsi="Arial" w:cs="Arial"/>
        </w:rPr>
        <w:t>Anink J, Troost D, Aronica E, Steinbusch H, Weis J, Goswami A.</w:t>
      </w:r>
      <w:r w:rsidRPr="001F590C">
        <w:rPr>
          <w:rFonts w:ascii="Arial" w:hAnsi="Arial" w:cs="Arial"/>
          <w:color w:val="000000"/>
        </w:rPr>
        <w:t xml:space="preserve"> </w:t>
      </w:r>
      <w:r w:rsidRPr="001F590C">
        <w:rPr>
          <w:rStyle w:val="fontstyle01"/>
          <w:rFonts w:ascii="Arial" w:hAnsi="Arial" w:cs="Arial"/>
          <w:b w:val="0"/>
          <w:bCs w:val="0"/>
        </w:rPr>
        <w:t>Aggregates of RNA Binding Proteins and ER Chaperones Linked</w:t>
      </w:r>
      <w:r w:rsidRPr="001F590C">
        <w:rPr>
          <w:rFonts w:ascii="Arial" w:hAnsi="Arial" w:cs="Arial"/>
          <w:b/>
          <w:bCs/>
          <w:color w:val="000000"/>
        </w:rPr>
        <w:t xml:space="preserve"> </w:t>
      </w:r>
      <w:r w:rsidRPr="001F590C">
        <w:rPr>
          <w:rStyle w:val="fontstyle01"/>
          <w:rFonts w:ascii="Arial" w:hAnsi="Arial" w:cs="Arial"/>
          <w:b w:val="0"/>
          <w:bCs w:val="0"/>
        </w:rPr>
        <w:t>to Exosomes in Granulovacuolar Degeneration of the</w:t>
      </w:r>
      <w:r w:rsidRPr="001F590C">
        <w:rPr>
          <w:rFonts w:ascii="Arial" w:hAnsi="Arial" w:cs="Arial"/>
          <w:b/>
          <w:bCs/>
          <w:color w:val="000000"/>
        </w:rPr>
        <w:t xml:space="preserve"> </w:t>
      </w:r>
      <w:r w:rsidRPr="001F590C">
        <w:rPr>
          <w:rStyle w:val="fontstyle01"/>
          <w:rFonts w:ascii="Arial" w:hAnsi="Arial" w:cs="Arial"/>
          <w:b w:val="0"/>
          <w:bCs w:val="0"/>
        </w:rPr>
        <w:t>Alzheimer's Disease Brain. J Alzheimer’s Dis. 2020</w:t>
      </w:r>
      <w:r w:rsidRPr="001F590C">
        <w:rPr>
          <w:rStyle w:val="fontstyle21"/>
          <w:rFonts w:ascii="Arial" w:hAnsi="Arial" w:cs="Arial"/>
          <w:b/>
          <w:bCs/>
        </w:rPr>
        <w:t>;</w:t>
      </w:r>
      <w:r w:rsidRPr="001F590C">
        <w:rPr>
          <w:rStyle w:val="fontstyle21"/>
          <w:rFonts w:ascii="Arial" w:hAnsi="Arial" w:cs="Arial"/>
        </w:rPr>
        <w:t>75(1):139-156</w:t>
      </w:r>
    </w:p>
    <w:p w:rsidR="009B580C" w:rsidRPr="001F590C" w:rsidRDefault="009B580C">
      <w:pPr>
        <w:suppressAutoHyphens w:val="0"/>
        <w:spacing w:after="0" w:line="240" w:lineRule="auto"/>
        <w:rPr>
          <w:rFonts w:ascii="Arial" w:eastAsia="Times New Roman" w:hAnsi="Arial" w:cs="Arial"/>
          <w:b/>
          <w:lang w:val="en-GB" w:eastAsia="de-DE"/>
        </w:rPr>
      </w:pPr>
    </w:p>
    <w:p w:rsidR="009B580C" w:rsidRDefault="005901EA" w:rsidP="001F590C">
      <w:pPr>
        <w:pStyle w:val="Listenabsatz"/>
        <w:numPr>
          <w:ilvl w:val="0"/>
          <w:numId w:val="1"/>
        </w:numPr>
        <w:spacing w:after="0" w:line="360" w:lineRule="auto"/>
      </w:pPr>
      <w:r w:rsidRPr="00405D25">
        <w:rPr>
          <w:rFonts w:ascii="Arial" w:eastAsia="Times New Roman" w:hAnsi="Arial" w:cs="Arial"/>
          <w:lang w:val="en-GB"/>
        </w:rPr>
        <w:t xml:space="preserve">Dreser A, Vollrath JT, Sechi A, Johann S, Roos A, Yamoah A, Katona I, Bohlega S, Wiemuth D, Tian Y, Schmidt A, Vervoorts J, Dohmen M, Beyer C, Anink J, Aronica E, Troost D, Weis J, Goswami A (2017) The ALS-linked E102Q mutation in Sigma receptor-1 leads to ER stress-mediated defects in protein homeostasis and dysregulation of RNA-binding proteins. </w:t>
      </w:r>
      <w:r w:rsidRPr="001F590C">
        <w:rPr>
          <w:rFonts w:ascii="Arial" w:eastAsia="Times New Roman" w:hAnsi="Arial" w:cs="Arial"/>
          <w:i/>
        </w:rPr>
        <w:t>Cell Death Differ</w:t>
      </w:r>
      <w:r w:rsidRPr="001F590C">
        <w:rPr>
          <w:rFonts w:ascii="Arial" w:eastAsia="Times New Roman" w:hAnsi="Arial" w:cs="Arial"/>
        </w:rPr>
        <w:t xml:space="preserve"> </w:t>
      </w:r>
      <w:r w:rsidRPr="001F590C">
        <w:rPr>
          <w:rFonts w:ascii="Arial" w:eastAsia="Times New Roman" w:hAnsi="Arial" w:cs="Arial"/>
          <w:b/>
        </w:rPr>
        <w:t>24</w:t>
      </w:r>
      <w:r w:rsidRPr="001F590C">
        <w:rPr>
          <w:rFonts w:ascii="Arial" w:eastAsia="Times New Roman" w:hAnsi="Arial" w:cs="Arial"/>
        </w:rPr>
        <w:t>, 1655-1671.</w:t>
      </w:r>
    </w:p>
    <w:p w:rsidR="009B580C" w:rsidRDefault="009B580C">
      <w:pPr>
        <w:suppressAutoHyphens w:val="0"/>
        <w:spacing w:after="0" w:line="360" w:lineRule="auto"/>
        <w:ind w:left="720" w:hanging="720"/>
        <w:jc w:val="both"/>
        <w:rPr>
          <w:rFonts w:ascii="Arial" w:eastAsia="Times New Roman" w:hAnsi="Arial" w:cs="Arial"/>
          <w:lang w:eastAsia="de-DE"/>
        </w:rPr>
      </w:pPr>
    </w:p>
    <w:p w:rsidR="009B580C" w:rsidRDefault="005901EA" w:rsidP="001F590C">
      <w:pPr>
        <w:pStyle w:val="Listenabsatz"/>
        <w:numPr>
          <w:ilvl w:val="0"/>
          <w:numId w:val="1"/>
        </w:numPr>
        <w:spacing w:after="0" w:line="360" w:lineRule="auto"/>
        <w:jc w:val="both"/>
      </w:pPr>
      <w:r w:rsidRPr="00405D25">
        <w:rPr>
          <w:rFonts w:ascii="Arial" w:eastAsia="Times New Roman" w:hAnsi="Arial" w:cs="Arial"/>
          <w:lang w:val="en-US"/>
        </w:rPr>
        <w:t xml:space="preserve">Jesse CM, Bushuven E, Tripathi P, Chandrasekar A, Simon CM, Drepper C, Yamoah A, Dreser A, Katona I, Johann S, Beyer C, Wagner S, Grond M, Nikolin S, Anink J, Troost D, Sendtner M, Goswami A, Weis J (2017) ALS-Associated Endoplasmic Reticulum Proteins in Denervated Skeletal Muscle: Implications for Motor Neuron Disease Pathology. </w:t>
      </w:r>
      <w:r w:rsidRPr="001F590C">
        <w:rPr>
          <w:rFonts w:ascii="Arial" w:eastAsia="Times New Roman" w:hAnsi="Arial" w:cs="Arial"/>
          <w:i/>
        </w:rPr>
        <w:t>Brain Pathol</w:t>
      </w:r>
      <w:r w:rsidRPr="001F590C">
        <w:rPr>
          <w:rFonts w:ascii="Arial" w:eastAsia="Times New Roman" w:hAnsi="Arial" w:cs="Arial"/>
        </w:rPr>
        <w:t xml:space="preserve"> </w:t>
      </w:r>
      <w:r w:rsidRPr="001F590C">
        <w:rPr>
          <w:rFonts w:ascii="Arial" w:eastAsia="Times New Roman" w:hAnsi="Arial" w:cs="Arial"/>
          <w:b/>
        </w:rPr>
        <w:t>27</w:t>
      </w:r>
      <w:r w:rsidRPr="001F590C">
        <w:rPr>
          <w:rFonts w:ascii="Arial" w:eastAsia="Times New Roman" w:hAnsi="Arial" w:cs="Arial"/>
        </w:rPr>
        <w:t>, 781-794.</w:t>
      </w:r>
    </w:p>
    <w:p w:rsidR="009B580C" w:rsidRDefault="009B580C">
      <w:pPr>
        <w:suppressAutoHyphens w:val="0"/>
        <w:spacing w:after="0" w:line="360" w:lineRule="auto"/>
        <w:ind w:left="720" w:hanging="720"/>
        <w:jc w:val="both"/>
        <w:rPr>
          <w:rFonts w:ascii="Arial" w:eastAsia="Times New Roman" w:hAnsi="Arial" w:cs="Arial"/>
          <w:lang w:eastAsia="de-DE"/>
        </w:rPr>
      </w:pPr>
    </w:p>
    <w:p w:rsidR="009B580C" w:rsidRDefault="005901EA" w:rsidP="001F590C">
      <w:pPr>
        <w:pStyle w:val="Listenabsatz"/>
        <w:numPr>
          <w:ilvl w:val="0"/>
          <w:numId w:val="1"/>
        </w:numPr>
        <w:spacing w:after="0" w:line="360" w:lineRule="auto"/>
        <w:jc w:val="both"/>
      </w:pPr>
      <w:r w:rsidRPr="00405D25">
        <w:rPr>
          <w:rFonts w:ascii="Arial" w:eastAsia="Times New Roman" w:hAnsi="Arial" w:cs="Arial"/>
          <w:lang w:val="en-GB"/>
        </w:rPr>
        <w:t xml:space="preserve">Goswami A, Jesse CM, Chandrasekar A, Bushuven E, Vollrath JT, Dreser A, Katona I, Beyer C, Johann S, Feller AC, Grond M, Wagner S, Nikolin S, Troost D, Weis J (2015) Accumulation of STIM1 is associated with the degenerative muscle fibre phenotype in ALS and other neurogenic atrophies. </w:t>
      </w:r>
      <w:r w:rsidRPr="001F590C">
        <w:rPr>
          <w:rFonts w:ascii="Arial" w:eastAsia="Times New Roman" w:hAnsi="Arial" w:cs="Arial"/>
          <w:i/>
        </w:rPr>
        <w:t>Neuropathol Appl Neurobiol</w:t>
      </w:r>
      <w:r w:rsidRPr="001F590C">
        <w:rPr>
          <w:rFonts w:ascii="Arial" w:eastAsia="Times New Roman" w:hAnsi="Arial" w:cs="Arial"/>
        </w:rPr>
        <w:t xml:space="preserve"> </w:t>
      </w:r>
      <w:r w:rsidRPr="001F590C">
        <w:rPr>
          <w:rFonts w:ascii="Arial" w:eastAsia="Times New Roman" w:hAnsi="Arial" w:cs="Arial"/>
          <w:b/>
        </w:rPr>
        <w:t>41</w:t>
      </w:r>
      <w:r w:rsidRPr="001F590C">
        <w:rPr>
          <w:rFonts w:ascii="Arial" w:eastAsia="Times New Roman" w:hAnsi="Arial" w:cs="Arial"/>
        </w:rPr>
        <w:t>, 304-318.</w:t>
      </w:r>
    </w:p>
    <w:p w:rsidR="009B580C" w:rsidRDefault="009B580C">
      <w:pPr>
        <w:suppressAutoHyphens w:val="0"/>
        <w:spacing w:after="0" w:line="360" w:lineRule="auto"/>
        <w:ind w:left="720" w:hanging="720"/>
        <w:jc w:val="both"/>
        <w:rPr>
          <w:rFonts w:ascii="Arial" w:eastAsia="Times New Roman" w:hAnsi="Arial" w:cs="Arial"/>
          <w:lang w:eastAsia="de-DE"/>
        </w:rPr>
      </w:pPr>
    </w:p>
    <w:p w:rsidR="009B580C" w:rsidRDefault="005901EA" w:rsidP="001F590C">
      <w:pPr>
        <w:pStyle w:val="Listenabsatz"/>
        <w:numPr>
          <w:ilvl w:val="0"/>
          <w:numId w:val="1"/>
        </w:numPr>
        <w:spacing w:after="0" w:line="360" w:lineRule="auto"/>
        <w:jc w:val="both"/>
      </w:pPr>
      <w:r w:rsidRPr="00405D25">
        <w:rPr>
          <w:rFonts w:ascii="Arial" w:eastAsia="Times New Roman" w:hAnsi="Arial" w:cs="Arial"/>
          <w:lang w:val="en-GB"/>
        </w:rPr>
        <w:t xml:space="preserve">Vollrath JT, Sechi A, Dreser A, Katona I, Wiemuth D, Vervoorts J, Dohmen M, Chandrasekar A, Prause J, Brauers E, Jesse CM, Weis J, Goswami A (2014) Loss of function of the ALS protein SigR1 leads to ER pathology associated with defective autophagy and lipid raft disturbances. </w:t>
      </w:r>
      <w:r w:rsidRPr="001F590C">
        <w:rPr>
          <w:rFonts w:ascii="Arial" w:eastAsia="Times New Roman" w:hAnsi="Arial" w:cs="Arial"/>
          <w:i/>
        </w:rPr>
        <w:t>Cell Death Dis</w:t>
      </w:r>
      <w:r w:rsidRPr="001F590C">
        <w:rPr>
          <w:rFonts w:ascii="Arial" w:eastAsia="Times New Roman" w:hAnsi="Arial" w:cs="Arial"/>
        </w:rPr>
        <w:t xml:space="preserve"> </w:t>
      </w:r>
      <w:r w:rsidRPr="001F590C">
        <w:rPr>
          <w:rFonts w:ascii="Arial" w:eastAsia="Times New Roman" w:hAnsi="Arial" w:cs="Arial"/>
          <w:b/>
        </w:rPr>
        <w:t>12</w:t>
      </w:r>
      <w:r w:rsidRPr="001F590C">
        <w:rPr>
          <w:rFonts w:ascii="Arial" w:eastAsia="Times New Roman" w:hAnsi="Arial" w:cs="Arial"/>
        </w:rPr>
        <w:t>, 243.</w:t>
      </w:r>
    </w:p>
    <w:p w:rsidR="009B580C" w:rsidRPr="00BA64E9" w:rsidRDefault="005901EA" w:rsidP="007756BA">
      <w:pPr>
        <w:pStyle w:val="Listenabsatz"/>
        <w:numPr>
          <w:ilvl w:val="0"/>
          <w:numId w:val="1"/>
        </w:numPr>
        <w:spacing w:after="0" w:line="240" w:lineRule="auto"/>
        <w:jc w:val="both"/>
        <w:rPr>
          <w:rFonts w:ascii="Arial" w:eastAsia="Times New Roman" w:hAnsi="Arial" w:cs="Arial"/>
        </w:rPr>
      </w:pPr>
      <w:r w:rsidRPr="00BA64E9">
        <w:rPr>
          <w:rFonts w:ascii="Arial" w:eastAsia="Times New Roman" w:hAnsi="Arial" w:cs="Arial"/>
        </w:rPr>
        <w:t xml:space="preserve">Filezac de L'Etang A, Maharjan N, Cordeiro Brana M, Ruegsegger C, Rehmann R, Goswami A, Roos A, Troost D, Schneider BL, Weis J, Saxena S (2015) Marinesco-Sjogren syndrome protein SIL1 regulates motor neuron subtype-selective ER stress in ALS. </w:t>
      </w:r>
      <w:r w:rsidRPr="00BA64E9">
        <w:rPr>
          <w:rFonts w:ascii="Arial" w:eastAsia="Times New Roman" w:hAnsi="Arial" w:cs="Arial"/>
          <w:i/>
        </w:rPr>
        <w:t>Nat Neurosci</w:t>
      </w:r>
      <w:r w:rsidRPr="00BA64E9">
        <w:rPr>
          <w:rFonts w:ascii="Arial" w:eastAsia="Times New Roman" w:hAnsi="Arial" w:cs="Arial"/>
        </w:rPr>
        <w:t xml:space="preserve"> </w:t>
      </w:r>
      <w:r w:rsidRPr="00BA64E9">
        <w:rPr>
          <w:rFonts w:ascii="Arial" w:eastAsia="Times New Roman" w:hAnsi="Arial" w:cs="Arial"/>
          <w:b/>
        </w:rPr>
        <w:t>18</w:t>
      </w:r>
      <w:r w:rsidRPr="00BA64E9">
        <w:rPr>
          <w:rFonts w:ascii="Arial" w:eastAsia="Times New Roman" w:hAnsi="Arial" w:cs="Arial"/>
        </w:rPr>
        <w:t>, 227-238.</w:t>
      </w:r>
      <w:bookmarkStart w:id="0" w:name="_GoBack"/>
      <w:bookmarkEnd w:id="0"/>
    </w:p>
    <w:p w:rsidR="009B580C" w:rsidRDefault="009B580C">
      <w:pPr>
        <w:rPr>
          <w:rFonts w:ascii="Arial" w:hAnsi="Arial" w:cs="Arial"/>
        </w:rPr>
      </w:pPr>
    </w:p>
    <w:sectPr w:rsidR="009B580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3E0" w:rsidRDefault="002433E0">
      <w:pPr>
        <w:spacing w:after="0" w:line="240" w:lineRule="auto"/>
      </w:pPr>
      <w:r>
        <w:separator/>
      </w:r>
    </w:p>
  </w:endnote>
  <w:endnote w:type="continuationSeparator" w:id="0">
    <w:p w:rsidR="002433E0" w:rsidRDefault="00243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3E0" w:rsidRDefault="002433E0">
      <w:pPr>
        <w:spacing w:after="0" w:line="240" w:lineRule="auto"/>
      </w:pPr>
      <w:r>
        <w:rPr>
          <w:color w:val="000000"/>
        </w:rPr>
        <w:separator/>
      </w:r>
    </w:p>
  </w:footnote>
  <w:footnote w:type="continuationSeparator" w:id="0">
    <w:p w:rsidR="002433E0" w:rsidRDefault="002433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097BAF"/>
    <w:multiLevelType w:val="hybridMultilevel"/>
    <w:tmpl w:val="60480A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80C"/>
    <w:rsid w:val="001F590C"/>
    <w:rsid w:val="002433E0"/>
    <w:rsid w:val="00405D25"/>
    <w:rsid w:val="005175A6"/>
    <w:rsid w:val="005901EA"/>
    <w:rsid w:val="007427AC"/>
    <w:rsid w:val="009B580C"/>
    <w:rsid w:val="00BA64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03754E-332F-4EC8-8A6A-D6944F5B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de-DE" w:eastAsia="en-US" w:bidi="ar-SA"/>
      </w:rPr>
    </w:rPrDefault>
    <w:pPrDefault>
      <w:pPr>
        <w:autoSpaceDN w:val="0"/>
        <w:spacing w:after="160" w:line="24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uppressAutoHyphens/>
      <w:spacing w:after="200" w:line="276" w:lineRule="auto"/>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ormaltextrun">
    <w:name w:val="normaltextrun"/>
    <w:basedOn w:val="Absatz-Standardschriftart"/>
  </w:style>
  <w:style w:type="paragraph" w:styleId="Listenabsatz">
    <w:name w:val="List Paragraph"/>
    <w:basedOn w:val="Standard"/>
    <w:pPr>
      <w:suppressAutoHyphens w:val="0"/>
      <w:ind w:left="720"/>
    </w:pPr>
    <w:rPr>
      <w:rFonts w:cs="Calibri"/>
      <w:lang w:val="de-DE" w:eastAsia="de-DE"/>
    </w:rPr>
  </w:style>
  <w:style w:type="character" w:customStyle="1" w:styleId="fontstyle01">
    <w:name w:val="fontstyle01"/>
    <w:basedOn w:val="Absatz-Standardschriftart"/>
    <w:rPr>
      <w:rFonts w:ascii="Calibri" w:hAnsi="Calibri" w:cs="Calibri"/>
      <w:b/>
      <w:bCs/>
      <w:i w:val="0"/>
      <w:iCs w:val="0"/>
      <w:color w:val="000000"/>
      <w:sz w:val="22"/>
      <w:szCs w:val="22"/>
    </w:rPr>
  </w:style>
  <w:style w:type="character" w:customStyle="1" w:styleId="fontstyle21">
    <w:name w:val="fontstyle21"/>
    <w:basedOn w:val="Absatz-Standardschriftart"/>
    <w:rPr>
      <w:rFonts w:ascii="Calibri" w:hAnsi="Calibri" w:cs="Calibri"/>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4112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Universitätsklinikum Aachen AöR</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Yamoah</dc:creator>
  <dc:description/>
  <cp:lastModifiedBy>Goswami, Anand</cp:lastModifiedBy>
  <cp:revision>4</cp:revision>
  <cp:lastPrinted>2022-05-06T14:15:00Z</cp:lastPrinted>
  <dcterms:created xsi:type="dcterms:W3CDTF">2022-05-06T14:23:00Z</dcterms:created>
  <dcterms:modified xsi:type="dcterms:W3CDTF">2022-08-05T12:15:00Z</dcterms:modified>
</cp:coreProperties>
</file>