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16FCD" w14:textId="64D673E1" w:rsidR="00697130" w:rsidRDefault="00697130" w:rsidP="00697130">
      <w:pPr>
        <w:wordWrap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0" w:name="_Hlk56549024"/>
      <w:bookmarkEnd w:id="0"/>
      <w:r w:rsidRPr="00CB134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Supplemental table 1. Clinical outcomes according to renal function. </w:t>
      </w:r>
    </w:p>
    <w:tbl>
      <w:tblPr>
        <w:tblStyle w:val="2"/>
        <w:tblW w:w="5000" w:type="pct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158"/>
        <w:gridCol w:w="1159"/>
        <w:gridCol w:w="1159"/>
        <w:gridCol w:w="1159"/>
        <w:gridCol w:w="1159"/>
        <w:gridCol w:w="1159"/>
      </w:tblGrid>
      <w:tr w:rsidR="00E81ED0" w:rsidRPr="00CB1344" w14:paraId="0A3E5C5D" w14:textId="77777777" w:rsidTr="006971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72AF678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CKD Grade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63E421E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D7B61A6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5DF498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7D5C83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052D9A5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574506D" w14:textId="57601E4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E81ED0" w:rsidRPr="00CB1344" w14:paraId="09C954C0" w14:textId="77777777" w:rsidTr="00697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vMerge/>
            <w:tcBorders>
              <w:bottom w:val="single" w:sz="4" w:space="0" w:color="auto"/>
            </w:tcBorders>
            <w:hideMark/>
          </w:tcPr>
          <w:p w14:paraId="156A0B84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048957B" w14:textId="771C86CC" w:rsidR="00E81ED0" w:rsidRPr="0027318D" w:rsidRDefault="00E81ED0" w:rsidP="00697130">
            <w:pPr>
              <w:wordWrap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(N=3096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B9B50F3" w14:textId="4675AEB2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N=5420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07D35C6" w14:textId="5B699BF9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N=3338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E84A8F2" w14:textId="55ACD351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N=482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25238B6" w14:textId="74200021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N=378</w:t>
            </w: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7566E11" w14:textId="77777777" w:rsidR="00E81ED0" w:rsidRPr="0027318D" w:rsidRDefault="00E81ED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97130" w:rsidRPr="00CB1344" w14:paraId="3B3C9CA3" w14:textId="77777777" w:rsidTr="0069713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BC503AC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Stroke and systemic embolism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02AA09F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71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2.3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E60C403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198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14C6F2D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215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C51BAC8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6.2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67775A8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FE97BBA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6DD6196F" w14:textId="77777777" w:rsidTr="00697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1F51DBAE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Major bleeding</w:t>
            </w:r>
          </w:p>
        </w:tc>
        <w:tc>
          <w:tcPr>
            <w:tcW w:w="6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2655A1C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93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3.0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253EAAFB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224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70322B9C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234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7.0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4FBFE400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 (12.4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0F9AB63C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60 (15.9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14:paraId="3D4DD44B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25369DB6" w14:textId="77777777" w:rsidTr="00697130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noWrap/>
            <w:vAlign w:val="center"/>
            <w:hideMark/>
          </w:tcPr>
          <w:p w14:paraId="499AAF82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All-cause mortality</w:t>
            </w:r>
          </w:p>
        </w:tc>
        <w:tc>
          <w:tcPr>
            <w:tcW w:w="661" w:type="pct"/>
            <w:noWrap/>
            <w:vAlign w:val="center"/>
            <w:hideMark/>
          </w:tcPr>
          <w:p w14:paraId="4E4BF58D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205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6.6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noWrap/>
            <w:vAlign w:val="center"/>
            <w:hideMark/>
          </w:tcPr>
          <w:p w14:paraId="53180E91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436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noWrap/>
            <w:vAlign w:val="center"/>
            <w:hideMark/>
          </w:tcPr>
          <w:p w14:paraId="5CF3C38A" w14:textId="748E5BF6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427(12.8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noWrap/>
            <w:vAlign w:val="center"/>
            <w:hideMark/>
          </w:tcPr>
          <w:p w14:paraId="0EA1706F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93 (19.3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noWrap/>
            <w:vAlign w:val="center"/>
            <w:hideMark/>
          </w:tcPr>
          <w:p w14:paraId="626309FF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 (19.8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noWrap/>
            <w:vAlign w:val="center"/>
            <w:hideMark/>
          </w:tcPr>
          <w:p w14:paraId="0C8353E8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49020B77" w14:textId="77777777" w:rsidTr="006971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3B4D0BF6" w14:textId="7B30A23C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Net 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>adverse clinical events</w:t>
            </w:r>
            <w:r w:rsidRPr="0027318D">
              <w:rPr>
                <w:rFonts w:ascii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15D0A2BA" w14:textId="146AF1D1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336(10.9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7FFF828C" w14:textId="65CBA5BB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754(13.9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84031EB" w14:textId="50A1E9B9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754(22.6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21C7BDFE" w14:textId="6E904289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148(30.7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6D086E7" w14:textId="2F5563ED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136(36.0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661" w:type="pct"/>
            <w:tcBorders>
              <w:top w:val="none" w:sz="0" w:space="0" w:color="auto"/>
              <w:bottom w:val="single" w:sz="4" w:space="0" w:color="auto"/>
            </w:tcBorders>
            <w:noWrap/>
            <w:vAlign w:val="center"/>
            <w:hideMark/>
          </w:tcPr>
          <w:p w14:paraId="08D4064A" w14:textId="77777777" w:rsidR="00697130" w:rsidRPr="0027318D" w:rsidRDefault="00697130" w:rsidP="00697130">
            <w:pPr>
              <w:wordWrap/>
              <w:adjustRightInd w:val="0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27318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6E7EB21D" w14:textId="77777777" w:rsidR="00697130" w:rsidRDefault="00697130" w:rsidP="00697130">
      <w:pPr>
        <w:wordWrap/>
        <w:adjustRightInd w:val="0"/>
        <w:spacing w:after="0"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  <w:sectPr w:rsidR="00697130" w:rsidSect="00697130">
          <w:pgSz w:w="11906" w:h="16838" w:code="9"/>
          <w:pgMar w:top="1440" w:right="1440" w:bottom="1440" w:left="1701" w:header="851" w:footer="992" w:gutter="0"/>
          <w:cols w:space="425"/>
          <w:docGrid w:linePitch="360"/>
        </w:sectPr>
      </w:pPr>
    </w:p>
    <w:p w14:paraId="0D83F33B" w14:textId="77777777" w:rsidR="00697130" w:rsidRPr="0027318D" w:rsidRDefault="00697130" w:rsidP="00697130">
      <w:pPr>
        <w:widowControl/>
        <w:wordWrap/>
        <w:autoSpaceDE/>
        <w:spacing w:after="120" w:line="360" w:lineRule="auto"/>
        <w:ind w:right="-450"/>
        <w:jc w:val="left"/>
        <w:rPr>
          <w:rFonts w:ascii="Times New Roman" w:eastAsia="맑은 고딕" w:hAnsi="Times New Roman" w:cs="Times New Roman"/>
          <w:bCs/>
          <w:kern w:val="0"/>
          <w:sz w:val="24"/>
          <w:szCs w:val="24"/>
        </w:rPr>
      </w:pPr>
      <w:r w:rsidRPr="0027318D">
        <w:rPr>
          <w:rFonts w:ascii="Times New Roman" w:eastAsia="맑은 고딕" w:hAnsi="Times New Roman" w:cs="Times New Roman"/>
          <w:bCs/>
          <w:kern w:val="0"/>
          <w:sz w:val="24"/>
          <w:szCs w:val="24"/>
        </w:rPr>
        <w:lastRenderedPageBreak/>
        <w:t>Supplemental Table 2. Predictors of net clinical events in univariable and multivariable analysis.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10"/>
        <w:gridCol w:w="1758"/>
        <w:gridCol w:w="978"/>
        <w:gridCol w:w="1758"/>
        <w:gridCol w:w="978"/>
      </w:tblGrid>
      <w:tr w:rsidR="00697130" w:rsidRPr="00CB1344" w14:paraId="584670B1" w14:textId="77777777" w:rsidTr="00000B3B">
        <w:trPr>
          <w:trHeight w:val="57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A16D91B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9939CE6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Univariable analysis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F71752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Multivariable analysis</w:t>
            </w:r>
          </w:p>
        </w:tc>
      </w:tr>
      <w:tr w:rsidR="00697130" w:rsidRPr="00CB1344" w14:paraId="3A29993D" w14:textId="77777777" w:rsidTr="00000B3B">
        <w:trPr>
          <w:trHeight w:val="57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5E1038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A0E69F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BC3708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97FC81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BECF75" w14:textId="77777777" w:rsidR="00697130" w:rsidRPr="0027318D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27318D">
              <w:rPr>
                <w:rFonts w:ascii="Times New Roman" w:eastAsia="맑은 고딕" w:hAnsi="Times New Roman" w:cs="Times New Roman"/>
                <w:i/>
                <w:iCs/>
                <w:kern w:val="0"/>
                <w:sz w:val="24"/>
                <w:szCs w:val="24"/>
              </w:rPr>
              <w:t>P</w:t>
            </w:r>
            <w:r w:rsidRPr="0027318D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Value</w:t>
            </w:r>
          </w:p>
        </w:tc>
      </w:tr>
      <w:tr w:rsidR="00697130" w:rsidRPr="00CB1344" w14:paraId="5A2925DF" w14:textId="77777777" w:rsidTr="00000B3B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E89BE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Anticoagulation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B24948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0.56 (0.51-0.62)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B230DD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962BB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0.62 (0.56-0.70)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D6E9C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471BEF4F" w14:textId="77777777" w:rsidTr="00000B3B">
        <w:trPr>
          <w:trHeight w:val="552"/>
        </w:trPr>
        <w:tc>
          <w:tcPr>
            <w:tcW w:w="0" w:type="auto"/>
            <w:vAlign w:val="center"/>
          </w:tcPr>
          <w:p w14:paraId="779EB59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Age (vs &lt;65 years)</w:t>
            </w:r>
          </w:p>
        </w:tc>
        <w:tc>
          <w:tcPr>
            <w:tcW w:w="0" w:type="auto"/>
            <w:vAlign w:val="center"/>
          </w:tcPr>
          <w:p w14:paraId="1EAA9E42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2860972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B25081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6B55F76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</w:p>
        </w:tc>
      </w:tr>
      <w:tr w:rsidR="00697130" w:rsidRPr="00CB1344" w14:paraId="0063C276" w14:textId="77777777" w:rsidTr="00000B3B">
        <w:trPr>
          <w:trHeight w:val="552"/>
        </w:trPr>
        <w:tc>
          <w:tcPr>
            <w:tcW w:w="0" w:type="auto"/>
            <w:vAlign w:val="center"/>
          </w:tcPr>
          <w:p w14:paraId="15B88171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≥75 years </w:t>
            </w:r>
          </w:p>
        </w:tc>
        <w:tc>
          <w:tcPr>
            <w:tcW w:w="0" w:type="auto"/>
            <w:vAlign w:val="center"/>
          </w:tcPr>
          <w:p w14:paraId="624A9A6D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2.32 (2.07-2.50)</w:t>
            </w:r>
          </w:p>
        </w:tc>
        <w:tc>
          <w:tcPr>
            <w:tcW w:w="0" w:type="auto"/>
            <w:vAlign w:val="center"/>
          </w:tcPr>
          <w:p w14:paraId="63132149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6FF0D79E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1.53 (1.37-1.72)</w:t>
            </w:r>
          </w:p>
        </w:tc>
        <w:tc>
          <w:tcPr>
            <w:tcW w:w="0" w:type="auto"/>
            <w:vAlign w:val="center"/>
          </w:tcPr>
          <w:p w14:paraId="058CAA09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0577FD00" w14:textId="77777777" w:rsidTr="00000B3B">
        <w:trPr>
          <w:trHeight w:val="552"/>
        </w:trPr>
        <w:tc>
          <w:tcPr>
            <w:tcW w:w="0" w:type="auto"/>
            <w:vAlign w:val="center"/>
          </w:tcPr>
          <w:p w14:paraId="0E27DC45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   ≥65 and &lt;75 years </w:t>
            </w:r>
          </w:p>
        </w:tc>
        <w:tc>
          <w:tcPr>
            <w:tcW w:w="0" w:type="auto"/>
            <w:vAlign w:val="center"/>
          </w:tcPr>
          <w:p w14:paraId="2A3A0DC6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1.70 (1.53-1.88)</w:t>
            </w:r>
          </w:p>
        </w:tc>
        <w:tc>
          <w:tcPr>
            <w:tcW w:w="0" w:type="auto"/>
            <w:vAlign w:val="center"/>
          </w:tcPr>
          <w:p w14:paraId="102F2A7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7C7C2855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1.25 (1.12-1.39)</w:t>
            </w:r>
          </w:p>
        </w:tc>
        <w:tc>
          <w:tcPr>
            <w:tcW w:w="0" w:type="auto"/>
            <w:vAlign w:val="center"/>
          </w:tcPr>
          <w:p w14:paraId="42244BAD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283384AB" w14:textId="77777777" w:rsidTr="00000B3B">
        <w:trPr>
          <w:trHeight w:val="552"/>
        </w:trPr>
        <w:tc>
          <w:tcPr>
            <w:tcW w:w="0" w:type="auto"/>
            <w:vAlign w:val="center"/>
          </w:tcPr>
          <w:p w14:paraId="6731919C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Female</w:t>
            </w:r>
          </w:p>
        </w:tc>
        <w:tc>
          <w:tcPr>
            <w:tcW w:w="0" w:type="auto"/>
            <w:vAlign w:val="center"/>
          </w:tcPr>
          <w:p w14:paraId="73ABF8BE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1.00 (0.91-1.10)</w:t>
            </w:r>
          </w:p>
        </w:tc>
        <w:tc>
          <w:tcPr>
            <w:tcW w:w="0" w:type="auto"/>
            <w:vAlign w:val="center"/>
          </w:tcPr>
          <w:p w14:paraId="27728085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0.977</w:t>
            </w:r>
          </w:p>
        </w:tc>
        <w:tc>
          <w:tcPr>
            <w:tcW w:w="0" w:type="auto"/>
            <w:vAlign w:val="center"/>
          </w:tcPr>
          <w:p w14:paraId="6EB92C94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1.14 (1.04-1.25)</w:t>
            </w:r>
          </w:p>
        </w:tc>
        <w:tc>
          <w:tcPr>
            <w:tcW w:w="0" w:type="auto"/>
            <w:vAlign w:val="center"/>
          </w:tcPr>
          <w:p w14:paraId="50F027CB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0.006</w:t>
            </w:r>
          </w:p>
        </w:tc>
      </w:tr>
      <w:tr w:rsidR="00697130" w:rsidRPr="00CB1344" w14:paraId="43FA104A" w14:textId="77777777" w:rsidTr="00000B3B">
        <w:trPr>
          <w:trHeight w:val="552"/>
        </w:trPr>
        <w:tc>
          <w:tcPr>
            <w:tcW w:w="0" w:type="auto"/>
            <w:vAlign w:val="center"/>
          </w:tcPr>
          <w:p w14:paraId="5B755981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Body mass index</w:t>
            </w:r>
          </w:p>
        </w:tc>
        <w:tc>
          <w:tcPr>
            <w:tcW w:w="0" w:type="auto"/>
            <w:vAlign w:val="center"/>
          </w:tcPr>
          <w:p w14:paraId="3FF78B58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0.90 (0.89-0.91)</w:t>
            </w:r>
          </w:p>
        </w:tc>
        <w:tc>
          <w:tcPr>
            <w:tcW w:w="0" w:type="auto"/>
            <w:vAlign w:val="center"/>
          </w:tcPr>
          <w:p w14:paraId="16A994E0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02C10A0E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0.93 (0.91-0.94)</w:t>
            </w:r>
          </w:p>
        </w:tc>
        <w:tc>
          <w:tcPr>
            <w:tcW w:w="0" w:type="auto"/>
            <w:vAlign w:val="center"/>
          </w:tcPr>
          <w:p w14:paraId="42AB62CC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5002E8DD" w14:textId="77777777" w:rsidTr="00000B3B">
        <w:trPr>
          <w:trHeight w:val="552"/>
        </w:trPr>
        <w:tc>
          <w:tcPr>
            <w:tcW w:w="0" w:type="auto"/>
            <w:vAlign w:val="center"/>
          </w:tcPr>
          <w:p w14:paraId="6B4FD21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Hypertension</w:t>
            </w:r>
          </w:p>
        </w:tc>
        <w:tc>
          <w:tcPr>
            <w:tcW w:w="0" w:type="auto"/>
            <w:vAlign w:val="center"/>
          </w:tcPr>
          <w:p w14:paraId="703C2CD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1.16 (1.06-1.28)</w:t>
            </w:r>
          </w:p>
        </w:tc>
        <w:tc>
          <w:tcPr>
            <w:tcW w:w="0" w:type="auto"/>
            <w:vAlign w:val="center"/>
          </w:tcPr>
          <w:p w14:paraId="4F9269E9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0.002</w:t>
            </w:r>
          </w:p>
        </w:tc>
        <w:tc>
          <w:tcPr>
            <w:tcW w:w="0" w:type="auto"/>
            <w:vAlign w:val="center"/>
          </w:tcPr>
          <w:p w14:paraId="3EF5F612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1.03 (0.93-1.14)</w:t>
            </w:r>
          </w:p>
        </w:tc>
        <w:tc>
          <w:tcPr>
            <w:tcW w:w="0" w:type="auto"/>
            <w:vAlign w:val="center"/>
          </w:tcPr>
          <w:p w14:paraId="7CEDF5FD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0.579</w:t>
            </w:r>
          </w:p>
        </w:tc>
      </w:tr>
      <w:tr w:rsidR="00697130" w:rsidRPr="00CB1344" w14:paraId="792C4C59" w14:textId="77777777" w:rsidTr="00000B3B">
        <w:trPr>
          <w:trHeight w:val="552"/>
        </w:trPr>
        <w:tc>
          <w:tcPr>
            <w:tcW w:w="0" w:type="auto"/>
            <w:vAlign w:val="center"/>
          </w:tcPr>
          <w:p w14:paraId="1AAC4D2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0" w:type="auto"/>
            <w:vAlign w:val="center"/>
          </w:tcPr>
          <w:p w14:paraId="5F1906CB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1.91 (1.74-2.10)</w:t>
            </w:r>
          </w:p>
        </w:tc>
        <w:tc>
          <w:tcPr>
            <w:tcW w:w="0" w:type="auto"/>
            <w:vAlign w:val="center"/>
          </w:tcPr>
          <w:p w14:paraId="5E267EF9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05E1FF8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1.52 (1.37-1.68)</w:t>
            </w:r>
          </w:p>
        </w:tc>
        <w:tc>
          <w:tcPr>
            <w:tcW w:w="0" w:type="auto"/>
            <w:vAlign w:val="center"/>
          </w:tcPr>
          <w:p w14:paraId="4A13EB07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5A9A148C" w14:textId="77777777" w:rsidTr="00000B3B">
        <w:trPr>
          <w:trHeight w:val="552"/>
        </w:trPr>
        <w:tc>
          <w:tcPr>
            <w:tcW w:w="0" w:type="auto"/>
            <w:vAlign w:val="center"/>
          </w:tcPr>
          <w:p w14:paraId="3379E63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Stroke</w:t>
            </w:r>
          </w:p>
        </w:tc>
        <w:tc>
          <w:tcPr>
            <w:tcW w:w="0" w:type="auto"/>
            <w:vAlign w:val="center"/>
          </w:tcPr>
          <w:p w14:paraId="6682D8B9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1.49 (1.32-1.69)</w:t>
            </w:r>
          </w:p>
        </w:tc>
        <w:tc>
          <w:tcPr>
            <w:tcW w:w="0" w:type="auto"/>
            <w:vAlign w:val="center"/>
          </w:tcPr>
          <w:p w14:paraId="44C1293E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415808E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1.52 (1.33-1.73)</w:t>
            </w:r>
          </w:p>
        </w:tc>
        <w:tc>
          <w:tcPr>
            <w:tcW w:w="0" w:type="auto"/>
            <w:vAlign w:val="center"/>
          </w:tcPr>
          <w:p w14:paraId="695AC73B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4076BD20" w14:textId="77777777" w:rsidTr="00000B3B">
        <w:trPr>
          <w:trHeight w:val="552"/>
        </w:trPr>
        <w:tc>
          <w:tcPr>
            <w:tcW w:w="0" w:type="auto"/>
            <w:vAlign w:val="center"/>
          </w:tcPr>
          <w:p w14:paraId="6413313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Intracranial hemorrhage </w:t>
            </w:r>
          </w:p>
        </w:tc>
        <w:tc>
          <w:tcPr>
            <w:tcW w:w="0" w:type="auto"/>
            <w:vAlign w:val="center"/>
          </w:tcPr>
          <w:p w14:paraId="4F535269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2.64 (2.09-3.35)</w:t>
            </w:r>
          </w:p>
        </w:tc>
        <w:tc>
          <w:tcPr>
            <w:tcW w:w="0" w:type="auto"/>
            <w:vAlign w:val="center"/>
          </w:tcPr>
          <w:p w14:paraId="4A8D5AA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2BDC0167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1.85 (1.45-2.35)</w:t>
            </w:r>
          </w:p>
        </w:tc>
        <w:tc>
          <w:tcPr>
            <w:tcW w:w="0" w:type="auto"/>
            <w:vAlign w:val="center"/>
          </w:tcPr>
          <w:p w14:paraId="322E977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4D021CF8" w14:textId="77777777" w:rsidTr="00000B3B">
        <w:trPr>
          <w:trHeight w:val="552"/>
        </w:trPr>
        <w:tc>
          <w:tcPr>
            <w:tcW w:w="0" w:type="auto"/>
            <w:vAlign w:val="center"/>
          </w:tcPr>
          <w:p w14:paraId="2642543C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Heart failure </w:t>
            </w:r>
          </w:p>
        </w:tc>
        <w:tc>
          <w:tcPr>
            <w:tcW w:w="0" w:type="auto"/>
            <w:noWrap/>
            <w:vAlign w:val="center"/>
          </w:tcPr>
          <w:p w14:paraId="59A652F1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1.45 (1.29-1.62)</w:t>
            </w:r>
          </w:p>
        </w:tc>
        <w:tc>
          <w:tcPr>
            <w:tcW w:w="0" w:type="auto"/>
            <w:vAlign w:val="center"/>
          </w:tcPr>
          <w:p w14:paraId="5CC8DCE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20CEDB8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1.35 (1.19-1.54)</w:t>
            </w:r>
          </w:p>
        </w:tc>
        <w:tc>
          <w:tcPr>
            <w:tcW w:w="0" w:type="auto"/>
            <w:vAlign w:val="center"/>
          </w:tcPr>
          <w:p w14:paraId="3AC9064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356124DA" w14:textId="77777777" w:rsidTr="00000B3B">
        <w:trPr>
          <w:trHeight w:val="552"/>
        </w:trPr>
        <w:tc>
          <w:tcPr>
            <w:tcW w:w="0" w:type="auto"/>
            <w:vAlign w:val="center"/>
          </w:tcPr>
          <w:p w14:paraId="651E2DC2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Vascular disease </w:t>
            </w:r>
          </w:p>
        </w:tc>
        <w:tc>
          <w:tcPr>
            <w:tcW w:w="0" w:type="auto"/>
            <w:noWrap/>
            <w:vAlign w:val="center"/>
          </w:tcPr>
          <w:p w14:paraId="51CE593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1.69 (1.45-1.97)</w:t>
            </w:r>
          </w:p>
        </w:tc>
        <w:tc>
          <w:tcPr>
            <w:tcW w:w="0" w:type="auto"/>
            <w:vAlign w:val="center"/>
          </w:tcPr>
          <w:p w14:paraId="7442A3B2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3B8ECD6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1.26 (1.07-1.49)</w:t>
            </w:r>
          </w:p>
        </w:tc>
        <w:tc>
          <w:tcPr>
            <w:tcW w:w="0" w:type="auto"/>
            <w:vAlign w:val="center"/>
          </w:tcPr>
          <w:p w14:paraId="706A3431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0.004</w:t>
            </w:r>
          </w:p>
        </w:tc>
      </w:tr>
      <w:tr w:rsidR="00697130" w:rsidRPr="00CB1344" w14:paraId="62F0EAE8" w14:textId="77777777" w:rsidTr="00000B3B">
        <w:trPr>
          <w:trHeight w:val="552"/>
        </w:trPr>
        <w:tc>
          <w:tcPr>
            <w:tcW w:w="0" w:type="auto"/>
            <w:vAlign w:val="center"/>
          </w:tcPr>
          <w:p w14:paraId="6ACF8C25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 xml:space="preserve">Malignancy </w:t>
            </w:r>
          </w:p>
        </w:tc>
        <w:tc>
          <w:tcPr>
            <w:tcW w:w="0" w:type="auto"/>
            <w:noWrap/>
            <w:vAlign w:val="center"/>
          </w:tcPr>
          <w:p w14:paraId="37405630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4.13 (3.78-4.51)</w:t>
            </w:r>
          </w:p>
        </w:tc>
        <w:tc>
          <w:tcPr>
            <w:tcW w:w="0" w:type="auto"/>
            <w:vAlign w:val="center"/>
          </w:tcPr>
          <w:p w14:paraId="3A3734E6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vAlign w:val="center"/>
          </w:tcPr>
          <w:p w14:paraId="72F51DA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3.75 (3.42-4.10)</w:t>
            </w:r>
          </w:p>
        </w:tc>
        <w:tc>
          <w:tcPr>
            <w:tcW w:w="0" w:type="auto"/>
            <w:vAlign w:val="center"/>
          </w:tcPr>
          <w:p w14:paraId="407EFE5C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3A77C330" w14:textId="77777777" w:rsidTr="00000B3B">
        <w:trPr>
          <w:trHeight w:val="552"/>
        </w:trPr>
        <w:tc>
          <w:tcPr>
            <w:tcW w:w="0" w:type="auto"/>
            <w:vAlign w:val="center"/>
          </w:tcPr>
          <w:p w14:paraId="4F70BE2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eastAsia="맑은 고딕" w:hAnsi="Times New Roman" w:cs="Times New Roman"/>
                <w:kern w:val="0"/>
                <w:sz w:val="24"/>
                <w:szCs w:val="24"/>
              </w:rPr>
              <w:t>LA size, per mm</w:t>
            </w:r>
          </w:p>
        </w:tc>
        <w:tc>
          <w:tcPr>
            <w:tcW w:w="0" w:type="auto"/>
            <w:noWrap/>
            <w:vAlign w:val="center"/>
          </w:tcPr>
          <w:p w14:paraId="333C431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1.00 (1.00-1.01)</w:t>
            </w:r>
          </w:p>
        </w:tc>
        <w:tc>
          <w:tcPr>
            <w:tcW w:w="0" w:type="auto"/>
            <w:vAlign w:val="center"/>
          </w:tcPr>
          <w:p w14:paraId="29E6065F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0.565</w:t>
            </w:r>
          </w:p>
        </w:tc>
        <w:tc>
          <w:tcPr>
            <w:tcW w:w="0" w:type="auto"/>
            <w:vAlign w:val="center"/>
          </w:tcPr>
          <w:p w14:paraId="788F358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1.01 (1.00-1.02)</w:t>
            </w:r>
          </w:p>
        </w:tc>
        <w:tc>
          <w:tcPr>
            <w:tcW w:w="0" w:type="auto"/>
            <w:vAlign w:val="center"/>
          </w:tcPr>
          <w:p w14:paraId="2904DBFA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697130" w:rsidRPr="00CB1344" w14:paraId="73410370" w14:textId="77777777" w:rsidTr="00000B3B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87D936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LVEF, per %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39A4BF1D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0.99 (0.99-1.00)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4494DB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0F367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0.99 (0.98-0.99)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A8D003" w14:textId="77777777" w:rsidR="00697130" w:rsidRPr="00CB1344" w:rsidRDefault="00697130" w:rsidP="00000B3B">
            <w:pPr>
              <w:widowControl/>
              <w:wordWrap/>
              <w:autoSpaceDE/>
              <w:spacing w:after="0" w:line="36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B134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0.006</w:t>
            </w:r>
          </w:p>
        </w:tc>
      </w:tr>
    </w:tbl>
    <w:p w14:paraId="75C33394" w14:textId="465AC2F1" w:rsidR="00697130" w:rsidRDefault="00623F41" w:rsidP="00697130">
      <w:pPr>
        <w:wordWrap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A, left atrial; LVEF, left ventricular ejection fraction</w:t>
      </w:r>
    </w:p>
    <w:p w14:paraId="716C2CA8" w14:textId="6A7680AD" w:rsidR="00E81ED0" w:rsidRDefault="00E81ED0">
      <w:pPr>
        <w:widowControl/>
        <w:wordWrap/>
        <w:autoSpaceDE/>
        <w:autoSpaceDN/>
      </w:pPr>
      <w:r>
        <w:br w:type="page"/>
      </w:r>
    </w:p>
    <w:p w14:paraId="47C8D1B8" w14:textId="23444FE6" w:rsidR="00E81ED0" w:rsidRPr="00E81ED0" w:rsidRDefault="00E81ED0" w:rsidP="00E81ED0">
      <w:pPr>
        <w:spacing w:line="48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E81ED0">
        <w:rPr>
          <w:rFonts w:ascii="Times New Roman" w:hAnsi="Times New Roman" w:cs="Times New Roman"/>
          <w:sz w:val="24"/>
          <w:szCs w:val="24"/>
        </w:rPr>
        <w:lastRenderedPageBreak/>
        <w:t xml:space="preserve">Supplemental figure 1. 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Kaplan-Meier plots for rate of net adverse clinical events (NACE) according to 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CHA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DS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-VASc score in patient with chronic kidney disease stage 5.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(A) Rate of NACE according to the CHA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DS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-VASc score. (B) Rate of NACE in patients with (bold line) or without (dotted line) anticoagulation according to 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the 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CHA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DS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  <w:vertAlign w:val="subscript"/>
        </w:rPr>
        <w:t>2</w:t>
      </w:r>
      <w:r w:rsidRPr="00E81ED0">
        <w:rPr>
          <w:rFonts w:ascii="Times New Roman" w:hAnsi="Times New Roman" w:cs="Times New Roman"/>
          <w:color w:val="000000"/>
          <w:kern w:val="0"/>
          <w:sz w:val="24"/>
          <w:szCs w:val="24"/>
        </w:rPr>
        <w:t>-VASc score.</w:t>
      </w:r>
    </w:p>
    <w:p w14:paraId="5F336FE5" w14:textId="668A143A" w:rsidR="00D61CBB" w:rsidRPr="00E81ED0" w:rsidRDefault="00E81ED0" w:rsidP="00623F41">
      <w:r>
        <w:rPr>
          <w:rFonts w:ascii="Times New Roman" w:hAnsi="Times New Roman" w:cs="Times New Roman"/>
          <w:noProof/>
          <w:color w:val="000000"/>
          <w:kern w:val="0"/>
          <w:sz w:val="24"/>
          <w:szCs w:val="24"/>
        </w:rPr>
        <w:drawing>
          <wp:inline distT="0" distB="0" distL="0" distR="0" wp14:anchorId="5A36CFF5" wp14:editId="03D4D083">
            <wp:extent cx="5721350" cy="42926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CBB" w:rsidRPr="00E81ED0" w:rsidSect="0069713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F81F4" w14:textId="77777777" w:rsidR="00E81ED0" w:rsidRDefault="00E81ED0" w:rsidP="00E81ED0">
      <w:pPr>
        <w:spacing w:after="0" w:line="240" w:lineRule="auto"/>
      </w:pPr>
      <w:r>
        <w:separator/>
      </w:r>
    </w:p>
  </w:endnote>
  <w:endnote w:type="continuationSeparator" w:id="0">
    <w:p w14:paraId="634B8395" w14:textId="77777777" w:rsidR="00E81ED0" w:rsidRDefault="00E81ED0" w:rsidP="00E8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E802C" w14:textId="77777777" w:rsidR="00E81ED0" w:rsidRDefault="00E81ED0" w:rsidP="00E81ED0">
      <w:pPr>
        <w:spacing w:after="0" w:line="240" w:lineRule="auto"/>
      </w:pPr>
      <w:r>
        <w:separator/>
      </w:r>
    </w:p>
  </w:footnote>
  <w:footnote w:type="continuationSeparator" w:id="0">
    <w:p w14:paraId="17176379" w14:textId="77777777" w:rsidR="00E81ED0" w:rsidRDefault="00E81ED0" w:rsidP="00E81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30"/>
    <w:rsid w:val="00623F41"/>
    <w:rsid w:val="00697130"/>
    <w:rsid w:val="00AB2FE3"/>
    <w:rsid w:val="00D61CBB"/>
    <w:rsid w:val="00E8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00664"/>
  <w15:chartTrackingRefBased/>
  <w15:docId w15:val="{C13EA0F5-57DC-4B9E-8CE6-1AEDC89D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13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autoRedefine/>
    <w:uiPriority w:val="9"/>
    <w:qFormat/>
    <w:rsid w:val="00AB2FE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B2FE3"/>
    <w:rPr>
      <w:rFonts w:asciiTheme="majorHAnsi" w:eastAsiaTheme="majorEastAsia" w:hAnsiTheme="majorHAnsi" w:cstheme="majorBidi"/>
      <w:b/>
      <w:bCs/>
      <w:color w:val="000000" w:themeColor="text1"/>
      <w:sz w:val="24"/>
      <w:szCs w:val="28"/>
    </w:rPr>
  </w:style>
  <w:style w:type="table" w:styleId="2">
    <w:name w:val="Plain Table 2"/>
    <w:basedOn w:val="a1"/>
    <w:uiPriority w:val="42"/>
    <w:rsid w:val="0069713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Char"/>
    <w:uiPriority w:val="99"/>
    <w:unhideWhenUsed/>
    <w:rsid w:val="00E81E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81ED0"/>
  </w:style>
  <w:style w:type="paragraph" w:styleId="a4">
    <w:name w:val="footer"/>
    <w:basedOn w:val="a"/>
    <w:link w:val="Char0"/>
    <w:uiPriority w:val="99"/>
    <w:unhideWhenUsed/>
    <w:rsid w:val="00E81E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81E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 Min Soo</dc:creator>
  <cp:keywords/>
  <dc:description/>
  <cp:lastModifiedBy>Cho Min Soo</cp:lastModifiedBy>
  <cp:revision>3</cp:revision>
  <dcterms:created xsi:type="dcterms:W3CDTF">2020-11-17T13:35:00Z</dcterms:created>
  <dcterms:modified xsi:type="dcterms:W3CDTF">2020-11-17T14:44:00Z</dcterms:modified>
</cp:coreProperties>
</file>