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84888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 xml:space="preserve">Additional File 1: </w:t>
      </w:r>
    </w:p>
    <w:p w14:paraId="76339020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Additional Material</w:t>
      </w:r>
    </w:p>
    <w:p w14:paraId="332D232C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Figure A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Optimal solutions of the maximum principal stress (σ</w:t>
      </w:r>
      <w:r w:rsidRPr="00177E5F">
        <w:rPr>
          <w:rFonts w:ascii="Times New Roman" w:hAnsi="Times New Roman" w:cs="Times New Roman"/>
          <w:color w:val="000000"/>
          <w:kern w:val="0"/>
          <w:vertAlign w:val="subscript"/>
        </w:rPr>
        <w:t>1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) at a depth of 12.5 km. The grid is shifted along (a) the Arima-Takatsuki fault zone </w:t>
      </w:r>
      <w:r>
        <w:rPr>
          <w:rFonts w:ascii="Times New Roman" w:hAnsi="Times New Roman" w:cs="Times New Roman"/>
          <w:color w:val="000000"/>
          <w:kern w:val="0"/>
        </w:rPr>
        <w:t xml:space="preserve">and </w:t>
      </w:r>
      <w:r w:rsidRPr="00177E5F">
        <w:rPr>
          <w:rFonts w:ascii="Times New Roman" w:hAnsi="Times New Roman" w:cs="Times New Roman"/>
          <w:color w:val="000000"/>
          <w:kern w:val="0"/>
        </w:rPr>
        <w:t>(b) Mitoke fault zone, and perpendicular to the fault zone. Supplementary explanations are the same as in Figure 4.</w:t>
      </w:r>
    </w:p>
    <w:p w14:paraId="65AB1916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6FEE537B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Figure B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Optimal solutions for σ</w:t>
      </w:r>
      <w:r w:rsidRPr="00177E5F">
        <w:rPr>
          <w:rFonts w:ascii="Times New Roman" w:hAnsi="Times New Roman" w:cs="Times New Roman"/>
          <w:color w:val="000000"/>
          <w:kern w:val="0"/>
          <w:vertAlign w:val="subscript"/>
        </w:rPr>
        <w:t>1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and σ</w:t>
      </w:r>
      <w:r w:rsidRPr="00177E5F">
        <w:rPr>
          <w:rFonts w:ascii="Times New Roman" w:hAnsi="Times New Roman" w:cs="Times New Roman"/>
          <w:color w:val="000000"/>
          <w:kern w:val="0"/>
          <w:vertAlign w:val="subscript"/>
        </w:rPr>
        <w:t>3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orientations and 95% confidence intervals at 12.5 km</w:t>
      </w:r>
      <w:r>
        <w:rPr>
          <w:rFonts w:ascii="Times New Roman" w:hAnsi="Times New Roman" w:cs="Times New Roman"/>
          <w:color w:val="000000"/>
          <w:kern w:val="0"/>
        </w:rPr>
        <w:t xml:space="preserve"> depth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. (a) </w:t>
      </w:r>
      <w:r>
        <w:rPr>
          <w:rFonts w:ascii="Times New Roman" w:hAnsi="Times New Roman" w:cs="Times New Roman"/>
          <w:color w:val="000000"/>
          <w:kern w:val="0"/>
        </w:rPr>
        <w:t>A</w:t>
      </w:r>
      <w:r w:rsidRPr="00177E5F">
        <w:rPr>
          <w:rFonts w:ascii="Times New Roman" w:hAnsi="Times New Roman" w:cs="Times New Roman"/>
          <w:color w:val="000000"/>
          <w:kern w:val="0"/>
        </w:rPr>
        <w:t>rea around the Arima-Takatsuki fault zone</w:t>
      </w:r>
      <w:r>
        <w:rPr>
          <w:rFonts w:ascii="Times New Roman" w:hAnsi="Times New Roman" w:cs="Times New Roman" w:hint="eastAsia"/>
          <w:color w:val="000000"/>
          <w:kern w:val="0"/>
        </w:rPr>
        <w:t>,</w:t>
      </w:r>
      <w:r>
        <w:rPr>
          <w:rFonts w:ascii="Times New Roman" w:hAnsi="Times New Roman" w:cs="Times New Roman"/>
          <w:color w:val="000000"/>
          <w:kern w:val="0"/>
        </w:rPr>
        <w:t xml:space="preserve"> and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(b) area around the Mitoke fault zone. Supplementary explanations are the same as in Figure 5.</w:t>
      </w:r>
    </w:p>
    <w:p w14:paraId="25058481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FB91537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Figure C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Superimposition of results for fault model and stress tensor inversion at 12.5 km</w:t>
      </w:r>
      <w:r>
        <w:rPr>
          <w:rFonts w:ascii="Times New Roman" w:hAnsi="Times New Roman" w:cs="Times New Roman"/>
          <w:color w:val="000000"/>
          <w:kern w:val="0"/>
        </w:rPr>
        <w:t xml:space="preserve"> depth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. Values used in the calculation program are the same as in Table 2. (a) </w:t>
      </w:r>
      <w:r>
        <w:rPr>
          <w:rFonts w:ascii="Times New Roman" w:hAnsi="Times New Roman" w:cs="Times New Roman"/>
          <w:color w:val="000000"/>
          <w:kern w:val="0"/>
        </w:rPr>
        <w:t>A</w:t>
      </w:r>
      <w:r w:rsidRPr="00177E5F">
        <w:rPr>
          <w:rFonts w:ascii="Times New Roman" w:hAnsi="Times New Roman" w:cs="Times New Roman"/>
          <w:color w:val="000000"/>
          <w:kern w:val="0"/>
        </w:rPr>
        <w:t>rea around the Arima-Takatsuki fault zone</w:t>
      </w:r>
      <w:r>
        <w:rPr>
          <w:rFonts w:ascii="Times New Roman" w:hAnsi="Times New Roman" w:cs="Times New Roman" w:hint="eastAsia"/>
          <w:color w:val="000000"/>
          <w:kern w:val="0"/>
        </w:rPr>
        <w:t>,</w:t>
      </w:r>
      <w:r>
        <w:rPr>
          <w:rFonts w:ascii="Times New Roman" w:hAnsi="Times New Roman" w:cs="Times New Roman"/>
          <w:color w:val="000000"/>
          <w:kern w:val="0"/>
        </w:rPr>
        <w:t xml:space="preserve"> and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(b) area around the Mitoke fault zone. Supplementary explanations are the same as in Figure 6.</w:t>
      </w:r>
    </w:p>
    <w:p w14:paraId="5A6FBC57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0B993BE3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lastRenderedPageBreak/>
        <w:t>Figure D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Variation of the azimuth angle of σ</w:t>
      </w:r>
      <w:r w:rsidRPr="00177E5F">
        <w:rPr>
          <w:rFonts w:ascii="Times New Roman" w:hAnsi="Times New Roman" w:cs="Times New Roman"/>
          <w:color w:val="000000"/>
          <w:kern w:val="0"/>
          <w:vertAlign w:val="subscript"/>
        </w:rPr>
        <w:t>1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for different locations at 12.5 km</w:t>
      </w:r>
      <w:r>
        <w:rPr>
          <w:rFonts w:ascii="Times New Roman" w:hAnsi="Times New Roman" w:cs="Times New Roman"/>
          <w:color w:val="000000"/>
          <w:kern w:val="0"/>
        </w:rPr>
        <w:t xml:space="preserve"> depth</w:t>
      </w:r>
      <w:r w:rsidRPr="00177E5F">
        <w:rPr>
          <w:rFonts w:ascii="Times New Roman" w:hAnsi="Times New Roman" w:cs="Times New Roman"/>
          <w:color w:val="000000"/>
          <w:kern w:val="0"/>
        </w:rPr>
        <w:t>. Supplementary explanations are the same as in Figure 7.</w:t>
      </w:r>
    </w:p>
    <w:p w14:paraId="109B249F" w14:textId="77777777" w:rsidR="00C33723" w:rsidRPr="00C63BB7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AD8A13C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3AE3A7C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Table A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Optimal solution of σ</w:t>
      </w:r>
      <w:r w:rsidRPr="00177E5F">
        <w:rPr>
          <w:rFonts w:ascii="Times New Roman" w:hAnsi="Times New Roman" w:cs="Times New Roman"/>
          <w:color w:val="000000"/>
          <w:kern w:val="0"/>
          <w:vertAlign w:val="subscript"/>
        </w:rPr>
        <w:t>1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and 95% confidence interval near the fault zone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This zone</w:t>
      </w:r>
      <w:r w:rsidRPr="0086081B">
        <w:rPr>
          <w:rFonts w:ascii="Times New Roman" w:hAnsi="Times New Roman" w:cs="Times New Roman"/>
          <w:color w:val="000000"/>
          <w:kern w:val="0"/>
        </w:rPr>
        <w:t xml:space="preserve"> is the </w:t>
      </w:r>
      <w:r w:rsidRPr="00177E5F">
        <w:rPr>
          <w:rFonts w:ascii="Times New Roman" w:hAnsi="Times New Roman" w:cs="Times New Roman"/>
          <w:color w:val="000000"/>
          <w:kern w:val="0"/>
        </w:rPr>
        <w:t xml:space="preserve">region between the blue dashed thin lines. Values are described from the west side of the region. Data marked in bold indicate that the 95% confidence interval is less than 50° and </w:t>
      </w:r>
      <w:r>
        <w:rPr>
          <w:rFonts w:ascii="Times New Roman" w:hAnsi="Times New Roman" w:cs="Times New Roman"/>
          <w:color w:val="000000"/>
          <w:kern w:val="0"/>
        </w:rPr>
        <w:t xml:space="preserve">the data </w:t>
      </w:r>
      <w:r w:rsidRPr="00177E5F">
        <w:rPr>
          <w:rFonts w:ascii="Times New Roman" w:hAnsi="Times New Roman" w:cs="Times New Roman"/>
          <w:color w:val="000000"/>
          <w:kern w:val="0"/>
        </w:rPr>
        <w:t>are considered reliable.</w:t>
      </w:r>
    </w:p>
    <w:p w14:paraId="5E069005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a Arima-Takatsuki fault zone</w:t>
      </w:r>
    </w:p>
    <w:p w14:paraId="3CCFFC03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33723" w:rsidRPr="00D37C63" w14:paraId="6D6E6498" w14:textId="77777777" w:rsidTr="003D0FDA">
        <w:trPr>
          <w:trHeight w:hRule="exact" w:val="397"/>
        </w:trPr>
        <w:tc>
          <w:tcPr>
            <w:tcW w:w="1077" w:type="dxa"/>
            <w:vAlign w:val="center"/>
          </w:tcPr>
          <w:p w14:paraId="1203E405" w14:textId="77777777" w:rsidR="00C33723" w:rsidRPr="008E553E" w:rsidRDefault="00C33723" w:rsidP="003D0FD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4F60FE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248CD90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E02C643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B7CAD9E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191D3F7F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1219AE5A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7E42638C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53F1DC2F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14:paraId="0098C754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0023833D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C33723" w:rsidRPr="00D37C63" w14:paraId="1B52BD58" w14:textId="77777777" w:rsidTr="003D0FDA">
        <w:trPr>
          <w:trHeight w:val="377"/>
        </w:trPr>
        <w:tc>
          <w:tcPr>
            <w:tcW w:w="1077" w:type="dxa"/>
          </w:tcPr>
          <w:p w14:paraId="3F1611B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</w:t>
            </w: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ptimal</w:t>
            </w:r>
          </w:p>
          <w:p w14:paraId="4CB27C9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solution</w:t>
            </w:r>
          </w:p>
        </w:tc>
        <w:tc>
          <w:tcPr>
            <w:tcW w:w="567" w:type="dxa"/>
            <w:vAlign w:val="center"/>
          </w:tcPr>
          <w:p w14:paraId="7663526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5B5DECB3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3D4E656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0395A44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567" w:type="dxa"/>
            <w:vAlign w:val="center"/>
          </w:tcPr>
          <w:p w14:paraId="1ECBC23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567" w:type="dxa"/>
            <w:vAlign w:val="center"/>
          </w:tcPr>
          <w:p w14:paraId="09E64E9D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63628AF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567A0CD5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234B1ED3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13EA3728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</w:tc>
      </w:tr>
      <w:tr w:rsidR="00C33723" w:rsidRPr="00D37C63" w14:paraId="661B5120" w14:textId="77777777" w:rsidTr="003D0FDA">
        <w:trPr>
          <w:trHeight w:val="567"/>
        </w:trPr>
        <w:tc>
          <w:tcPr>
            <w:tcW w:w="1077" w:type="dxa"/>
          </w:tcPr>
          <w:p w14:paraId="50369B34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</w:t>
            </w: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onfidence</w:t>
            </w:r>
          </w:p>
          <w:p w14:paraId="59ED099C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interval</w:t>
            </w:r>
          </w:p>
        </w:tc>
        <w:tc>
          <w:tcPr>
            <w:tcW w:w="567" w:type="dxa"/>
          </w:tcPr>
          <w:p w14:paraId="759678D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  <w:p w14:paraId="28A6C1C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14:paraId="2064918A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  <w:p w14:paraId="4D300EF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567" w:type="dxa"/>
          </w:tcPr>
          <w:p w14:paraId="47BBA7B2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  <w:p w14:paraId="051D42D1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14:paraId="4E98F5A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  <w:p w14:paraId="5D1534E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14:paraId="119B59F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  <w:p w14:paraId="0FD6F641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</w:tcPr>
          <w:p w14:paraId="44B1E4D1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  <w:p w14:paraId="77A41185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14:paraId="6C41153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  <w:p w14:paraId="17D819EE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14:paraId="58677A6E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  <w:p w14:paraId="14D0A5EE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14:paraId="237A5861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  <w:p w14:paraId="279D4E91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14:paraId="58DBD58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  <w:p w14:paraId="049BBFD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</w:tr>
    </w:tbl>
    <w:p w14:paraId="41043767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9CE5125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177E5F">
        <w:rPr>
          <w:rFonts w:ascii="Times New Roman" w:hAnsi="Times New Roman" w:cs="Times New Roman"/>
          <w:b/>
          <w:bCs/>
          <w:color w:val="000000"/>
          <w:kern w:val="0"/>
        </w:rPr>
        <w:t>b Mitoke fault zone</w:t>
      </w:r>
    </w:p>
    <w:p w14:paraId="5B0BD367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7"/>
        <w:gridCol w:w="567"/>
        <w:gridCol w:w="567"/>
        <w:gridCol w:w="567"/>
        <w:gridCol w:w="567"/>
        <w:gridCol w:w="567"/>
      </w:tblGrid>
      <w:tr w:rsidR="00C33723" w:rsidRPr="00D37C63" w14:paraId="09B7C72A" w14:textId="77777777" w:rsidTr="003D0FDA">
        <w:trPr>
          <w:trHeight w:hRule="exact" w:val="397"/>
        </w:trPr>
        <w:tc>
          <w:tcPr>
            <w:tcW w:w="1077" w:type="dxa"/>
            <w:vAlign w:val="center"/>
          </w:tcPr>
          <w:p w14:paraId="6FBA03E3" w14:textId="77777777" w:rsidR="00C33723" w:rsidRPr="008E553E" w:rsidRDefault="00C33723" w:rsidP="003D0FD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3403C4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C814A0C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7029204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8A86D42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0745399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C33723" w:rsidRPr="00D37C63" w14:paraId="466CD172" w14:textId="77777777" w:rsidTr="003D0FDA">
        <w:trPr>
          <w:trHeight w:val="567"/>
        </w:trPr>
        <w:tc>
          <w:tcPr>
            <w:tcW w:w="1077" w:type="dxa"/>
          </w:tcPr>
          <w:p w14:paraId="6A603AA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</w:t>
            </w: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ptimal</w:t>
            </w:r>
          </w:p>
          <w:p w14:paraId="08B7C878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solution</w:t>
            </w:r>
          </w:p>
        </w:tc>
        <w:tc>
          <w:tcPr>
            <w:tcW w:w="567" w:type="dxa"/>
            <w:vAlign w:val="center"/>
          </w:tcPr>
          <w:p w14:paraId="0D9255A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567" w:type="dxa"/>
            <w:vAlign w:val="center"/>
          </w:tcPr>
          <w:p w14:paraId="41EC81AB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29375816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567" w:type="dxa"/>
            <w:vAlign w:val="center"/>
          </w:tcPr>
          <w:p w14:paraId="4B3B0B1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567" w:type="dxa"/>
            <w:vAlign w:val="center"/>
          </w:tcPr>
          <w:p w14:paraId="3325A662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80</w:t>
            </w:r>
          </w:p>
        </w:tc>
      </w:tr>
      <w:tr w:rsidR="00C33723" w:rsidRPr="00D37C63" w14:paraId="01870F48" w14:textId="77777777" w:rsidTr="003D0FDA">
        <w:trPr>
          <w:trHeight w:val="567"/>
        </w:trPr>
        <w:tc>
          <w:tcPr>
            <w:tcW w:w="1077" w:type="dxa"/>
          </w:tcPr>
          <w:p w14:paraId="57ABE611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lastRenderedPageBreak/>
              <w:t>C</w:t>
            </w: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onfidence</w:t>
            </w:r>
          </w:p>
          <w:p w14:paraId="78A60A57" w14:textId="77777777" w:rsidR="00C33723" w:rsidRPr="00D37C63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37C6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interval</w:t>
            </w:r>
          </w:p>
        </w:tc>
        <w:tc>
          <w:tcPr>
            <w:tcW w:w="567" w:type="dxa"/>
          </w:tcPr>
          <w:p w14:paraId="14E7A897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65</w:t>
            </w:r>
          </w:p>
          <w:p w14:paraId="163B5B6F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14:paraId="7E2F7C1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70</w:t>
            </w:r>
          </w:p>
          <w:p w14:paraId="7EB8D5E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14:paraId="13F3AEE8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  <w:p w14:paraId="0689AA9D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14:paraId="6A630294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65</w:t>
            </w:r>
          </w:p>
          <w:p w14:paraId="7366D4C9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14:paraId="4AFE07DF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70</w:t>
            </w:r>
          </w:p>
          <w:p w14:paraId="0E80E2BC" w14:textId="77777777" w:rsidR="00C33723" w:rsidRPr="008E553E" w:rsidRDefault="00C33723" w:rsidP="003D0FDA">
            <w:pPr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E553E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</w:tc>
      </w:tr>
    </w:tbl>
    <w:p w14:paraId="3561ED7C" w14:textId="77777777" w:rsidR="00C33723" w:rsidRPr="00177E5F" w:rsidRDefault="00C33723" w:rsidP="00C3372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7A13E93C" w14:textId="77777777" w:rsidR="001760E5" w:rsidRDefault="00C33723"/>
    <w:sectPr w:rsidR="001760E5" w:rsidSect="00780760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23"/>
    <w:rsid w:val="006E225C"/>
    <w:rsid w:val="008A3324"/>
    <w:rsid w:val="0096107C"/>
    <w:rsid w:val="00996CDB"/>
    <w:rsid w:val="009B6A41"/>
    <w:rsid w:val="00BA546E"/>
    <w:rsid w:val="00C33723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B4B19"/>
  <w15:chartTrackingRefBased/>
  <w15:docId w15:val="{49EE0744-CFC7-4FEB-9E95-066EC17A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723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723"/>
    <w:pPr>
      <w:spacing w:after="0" w:line="240" w:lineRule="auto"/>
    </w:pPr>
    <w:rPr>
      <w:rFonts w:eastAsiaTheme="minorEastAsia"/>
      <w:kern w:val="2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33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1405</Characters>
  <Application>Microsoft Office Word</Application>
  <DocSecurity>0</DocSecurity>
  <Lines>11</Lines>
  <Paragraphs>3</Paragraphs>
  <ScaleCrop>false</ScaleCrop>
  <Company>Springer Nature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2022-12-29T00:48:00Z</dcterms:created>
  <dcterms:modified xsi:type="dcterms:W3CDTF">2022-12-29T00:49:00Z</dcterms:modified>
</cp:coreProperties>
</file>