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4CF8A" w14:textId="3A2E738A" w:rsidR="002103E6" w:rsidRPr="00E76B39" w:rsidRDefault="00E76B39">
      <w:pPr>
        <w:rPr>
          <w:b/>
        </w:rPr>
      </w:pPr>
      <w:r>
        <w:rPr>
          <w:b/>
        </w:rPr>
        <w:t>Supplementa</w:t>
      </w:r>
      <w:r w:rsidR="00E15C67">
        <w:rPr>
          <w:b/>
        </w:rPr>
        <w:t>l</w:t>
      </w:r>
      <w:r>
        <w:rPr>
          <w:b/>
        </w:rPr>
        <w:t xml:space="preserve"> </w:t>
      </w:r>
      <w:r w:rsidRPr="00E76B39">
        <w:rPr>
          <w:b/>
        </w:rPr>
        <w:t xml:space="preserve">Table </w:t>
      </w:r>
      <w:r w:rsidR="00E15C67">
        <w:rPr>
          <w:b/>
        </w:rPr>
        <w:t>S2</w:t>
      </w:r>
      <w:r w:rsidRPr="00E76B39">
        <w:rPr>
          <w:b/>
        </w:rPr>
        <w:t xml:space="preserve">. </w:t>
      </w:r>
      <w:r>
        <w:rPr>
          <w:b/>
        </w:rPr>
        <w:t xml:space="preserve">AMR and Biofilm forming genes analyzed in this study </w:t>
      </w:r>
    </w:p>
    <w:tbl>
      <w:tblPr>
        <w:tblW w:w="0" w:type="auto"/>
        <w:tblInd w:w="-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340"/>
        <w:gridCol w:w="11240"/>
      </w:tblGrid>
      <w:tr w:rsidR="00C2279B" w:rsidRPr="00687BB5" w14:paraId="013695C3" w14:textId="77777777" w:rsidTr="00687BB5">
        <w:trPr>
          <w:trHeight w:val="403"/>
        </w:trPr>
        <w:tc>
          <w:tcPr>
            <w:tcW w:w="2340" w:type="dxa"/>
            <w:shd w:val="clear" w:color="auto" w:fill="auto"/>
            <w:tcMar>
              <w:top w:w="100" w:type="dxa"/>
              <w:left w:w="100" w:type="dxa"/>
              <w:bottom w:w="100" w:type="dxa"/>
              <w:right w:w="100" w:type="dxa"/>
            </w:tcMar>
          </w:tcPr>
          <w:p w14:paraId="1A7AC191" w14:textId="77777777" w:rsidR="00C2279B" w:rsidRPr="00687BB5" w:rsidRDefault="00C2279B" w:rsidP="00687BB5">
            <w:pPr>
              <w:spacing w:line="240" w:lineRule="auto"/>
              <w:jc w:val="center"/>
              <w:rPr>
                <w:rFonts w:ascii="Times New Roman" w:eastAsia="Times New Roman" w:hAnsi="Times New Roman" w:cs="Times New Roman"/>
                <w:b/>
                <w:sz w:val="20"/>
              </w:rPr>
            </w:pPr>
            <w:r w:rsidRPr="00687BB5">
              <w:rPr>
                <w:rFonts w:ascii="Times New Roman" w:eastAsia="Times New Roman" w:hAnsi="Times New Roman" w:cs="Times New Roman"/>
                <w:b/>
                <w:sz w:val="20"/>
              </w:rPr>
              <w:t>Genes</w:t>
            </w:r>
          </w:p>
        </w:tc>
        <w:tc>
          <w:tcPr>
            <w:tcW w:w="11240" w:type="dxa"/>
            <w:shd w:val="clear" w:color="auto" w:fill="auto"/>
            <w:tcMar>
              <w:top w:w="100" w:type="dxa"/>
              <w:left w:w="100" w:type="dxa"/>
              <w:bottom w:w="100" w:type="dxa"/>
              <w:right w:w="100" w:type="dxa"/>
            </w:tcMar>
          </w:tcPr>
          <w:p w14:paraId="7260A8BF" w14:textId="77777777" w:rsidR="00C2279B" w:rsidRPr="00687BB5" w:rsidRDefault="00C2279B" w:rsidP="00687BB5">
            <w:pPr>
              <w:spacing w:line="240" w:lineRule="auto"/>
              <w:jc w:val="center"/>
              <w:rPr>
                <w:rFonts w:ascii="Times New Roman" w:eastAsia="Times New Roman" w:hAnsi="Times New Roman" w:cs="Times New Roman"/>
                <w:b/>
                <w:sz w:val="20"/>
              </w:rPr>
            </w:pPr>
            <w:r w:rsidRPr="00687BB5">
              <w:rPr>
                <w:rFonts w:ascii="Times New Roman" w:eastAsia="Times New Roman" w:hAnsi="Times New Roman" w:cs="Times New Roman"/>
                <w:b/>
                <w:sz w:val="20"/>
              </w:rPr>
              <w:t>Function</w:t>
            </w:r>
          </w:p>
        </w:tc>
      </w:tr>
      <w:tr w:rsidR="00C2279B" w:rsidRPr="00687BB5" w14:paraId="21F55EAF" w14:textId="77777777" w:rsidTr="00687BB5">
        <w:trPr>
          <w:trHeight w:val="501"/>
        </w:trPr>
        <w:tc>
          <w:tcPr>
            <w:tcW w:w="2340" w:type="dxa"/>
            <w:shd w:val="clear" w:color="auto" w:fill="auto"/>
            <w:tcMar>
              <w:top w:w="100" w:type="dxa"/>
              <w:left w:w="100" w:type="dxa"/>
              <w:bottom w:w="100" w:type="dxa"/>
              <w:right w:w="100" w:type="dxa"/>
            </w:tcMar>
          </w:tcPr>
          <w:p w14:paraId="261BFC62" w14:textId="77777777" w:rsidR="00C2279B" w:rsidRPr="007E7E99" w:rsidRDefault="00C2279B" w:rsidP="00687BB5">
            <w:pPr>
              <w:spacing w:line="240" w:lineRule="auto"/>
              <w:rPr>
                <w:rFonts w:ascii="Times New Roman" w:eastAsia="Times New Roman" w:hAnsi="Times New Roman" w:cs="Times New Roman"/>
                <w:b/>
                <w:sz w:val="20"/>
              </w:rPr>
            </w:pPr>
            <w:r w:rsidRPr="007E7E99">
              <w:rPr>
                <w:rFonts w:ascii="Times New Roman" w:eastAsia="Times New Roman" w:hAnsi="Times New Roman" w:cs="Times New Roman"/>
                <w:b/>
                <w:sz w:val="20"/>
              </w:rPr>
              <w:t>Copper Translocating P-Type ATPase</w:t>
            </w:r>
          </w:p>
        </w:tc>
        <w:tc>
          <w:tcPr>
            <w:tcW w:w="11240" w:type="dxa"/>
            <w:shd w:val="clear" w:color="auto" w:fill="auto"/>
            <w:tcMar>
              <w:top w:w="100" w:type="dxa"/>
              <w:left w:w="100" w:type="dxa"/>
              <w:bottom w:w="100" w:type="dxa"/>
              <w:right w:w="100" w:type="dxa"/>
            </w:tcMar>
          </w:tcPr>
          <w:p w14:paraId="1AAE0B54" w14:textId="7AB268A8" w:rsidR="00C2279B" w:rsidRPr="00687BB5" w:rsidRDefault="00C2279B" w:rsidP="00F55A58">
            <w:pPr>
              <w:spacing w:line="240" w:lineRule="auto"/>
              <w:jc w:val="both"/>
              <w:rPr>
                <w:rFonts w:ascii="Times New Roman" w:eastAsia="Times New Roman" w:hAnsi="Times New Roman" w:cs="Times New Roman"/>
                <w:sz w:val="20"/>
              </w:rPr>
            </w:pPr>
            <w:r w:rsidRPr="00687BB5">
              <w:rPr>
                <w:rFonts w:ascii="Times New Roman" w:eastAsia="Times New Roman" w:hAnsi="Times New Roman" w:cs="Times New Roman"/>
                <w:sz w:val="20"/>
              </w:rPr>
              <w:t xml:space="preserve">It is part of the cell membrane and is involved in ATP binding, metal ion binding, and metal ion transport.  In some bacteria such as </w:t>
            </w:r>
            <w:r w:rsidRPr="00D031EE">
              <w:rPr>
                <w:rFonts w:ascii="Times New Roman" w:eastAsia="Times New Roman" w:hAnsi="Times New Roman" w:cs="Times New Roman"/>
                <w:i/>
                <w:iCs/>
                <w:sz w:val="20"/>
              </w:rPr>
              <w:t>E.</w:t>
            </w:r>
            <w:r w:rsidR="00D031EE" w:rsidRPr="00D031EE">
              <w:rPr>
                <w:rFonts w:ascii="Times New Roman" w:eastAsia="Times New Roman" w:hAnsi="Times New Roman" w:cs="Times New Roman"/>
                <w:i/>
                <w:iCs/>
                <w:sz w:val="20"/>
              </w:rPr>
              <w:t xml:space="preserve"> c</w:t>
            </w:r>
            <w:r w:rsidRPr="00D031EE">
              <w:rPr>
                <w:rFonts w:ascii="Times New Roman" w:eastAsia="Times New Roman" w:hAnsi="Times New Roman" w:cs="Times New Roman"/>
                <w:i/>
                <w:iCs/>
                <w:sz w:val="20"/>
              </w:rPr>
              <w:t>oli</w:t>
            </w:r>
            <w:r w:rsidRPr="00687BB5">
              <w:rPr>
                <w:rFonts w:ascii="Times New Roman" w:eastAsia="Times New Roman" w:hAnsi="Times New Roman" w:cs="Times New Roman"/>
                <w:sz w:val="20"/>
              </w:rPr>
              <w:t>, the CTPA allows for increased resistance to copper. (uniport.org)</w:t>
            </w:r>
          </w:p>
        </w:tc>
      </w:tr>
      <w:tr w:rsidR="00C2279B" w:rsidRPr="00687BB5" w14:paraId="2D24CB4D" w14:textId="77777777" w:rsidTr="00687BB5">
        <w:trPr>
          <w:trHeight w:val="744"/>
        </w:trPr>
        <w:tc>
          <w:tcPr>
            <w:tcW w:w="2340" w:type="dxa"/>
            <w:shd w:val="clear" w:color="auto" w:fill="auto"/>
            <w:tcMar>
              <w:top w:w="100" w:type="dxa"/>
              <w:left w:w="100" w:type="dxa"/>
              <w:bottom w:w="100" w:type="dxa"/>
              <w:right w:w="100" w:type="dxa"/>
            </w:tcMar>
          </w:tcPr>
          <w:p w14:paraId="5D3E3481" w14:textId="77777777" w:rsidR="00C2279B" w:rsidRPr="007E7E99" w:rsidRDefault="00C2279B" w:rsidP="00687BB5">
            <w:pPr>
              <w:spacing w:line="240" w:lineRule="auto"/>
              <w:rPr>
                <w:rFonts w:ascii="Times New Roman" w:eastAsia="Times New Roman" w:hAnsi="Times New Roman" w:cs="Times New Roman"/>
                <w:b/>
                <w:sz w:val="20"/>
              </w:rPr>
            </w:pPr>
            <w:r w:rsidRPr="007E7E99">
              <w:rPr>
                <w:rFonts w:ascii="Times New Roman" w:eastAsia="Times New Roman" w:hAnsi="Times New Roman" w:cs="Times New Roman"/>
                <w:b/>
                <w:sz w:val="20"/>
              </w:rPr>
              <w:t>DNA gyrase subunit A and B (Type II Topoisomerase)</w:t>
            </w:r>
          </w:p>
        </w:tc>
        <w:tc>
          <w:tcPr>
            <w:tcW w:w="11240" w:type="dxa"/>
            <w:shd w:val="clear" w:color="auto" w:fill="auto"/>
            <w:tcMar>
              <w:top w:w="100" w:type="dxa"/>
              <w:left w:w="100" w:type="dxa"/>
              <w:bottom w:w="100" w:type="dxa"/>
              <w:right w:w="100" w:type="dxa"/>
            </w:tcMar>
          </w:tcPr>
          <w:p w14:paraId="367121A7" w14:textId="77777777" w:rsidR="00C2279B" w:rsidRPr="00687BB5" w:rsidRDefault="00C2279B" w:rsidP="00F55A58">
            <w:pPr>
              <w:spacing w:line="240" w:lineRule="auto"/>
              <w:jc w:val="both"/>
              <w:rPr>
                <w:rFonts w:ascii="Times New Roman" w:eastAsia="Times New Roman" w:hAnsi="Times New Roman" w:cs="Times New Roman"/>
                <w:sz w:val="20"/>
              </w:rPr>
            </w:pPr>
            <w:r w:rsidRPr="00687BB5">
              <w:rPr>
                <w:rFonts w:ascii="Times New Roman" w:eastAsia="Times New Roman" w:hAnsi="Times New Roman" w:cs="Times New Roman"/>
                <w:sz w:val="20"/>
              </w:rPr>
              <w:t xml:space="preserve">Type II Topoisomerase breaks and joins two strands of DNA at the same time. It negatively supercoils DNA using ATP to put chromosomes in an underwound state. Negative supercoiling allows for DNA replication and DNA strand separation. An important aspect is that it induces higher antibiotic resistance when it is active. In terms of the particular function of the two subunits, Gyrase A has two functions: The N terminus of the topoisomerase forms a DNA-protein bridge that breaks/joins and the C terminus binds to DNA. Gyrase B functions in ATP hydrolysis and also subunit interaction. </w:t>
            </w:r>
          </w:p>
        </w:tc>
      </w:tr>
      <w:tr w:rsidR="00C2279B" w:rsidRPr="00687BB5" w14:paraId="0DA8FE05" w14:textId="77777777" w:rsidTr="00687BB5">
        <w:trPr>
          <w:trHeight w:val="447"/>
        </w:trPr>
        <w:tc>
          <w:tcPr>
            <w:tcW w:w="2340" w:type="dxa"/>
            <w:shd w:val="clear" w:color="auto" w:fill="auto"/>
            <w:tcMar>
              <w:top w:w="100" w:type="dxa"/>
              <w:left w:w="100" w:type="dxa"/>
              <w:bottom w:w="100" w:type="dxa"/>
              <w:right w:w="100" w:type="dxa"/>
            </w:tcMar>
          </w:tcPr>
          <w:p w14:paraId="77981552" w14:textId="77777777" w:rsidR="00C2279B" w:rsidRPr="007E7E99" w:rsidRDefault="00C2279B" w:rsidP="00687BB5">
            <w:pPr>
              <w:spacing w:line="240" w:lineRule="auto"/>
              <w:rPr>
                <w:rFonts w:ascii="Times New Roman" w:eastAsia="Times New Roman" w:hAnsi="Times New Roman" w:cs="Times New Roman"/>
                <w:b/>
                <w:sz w:val="20"/>
              </w:rPr>
            </w:pPr>
            <w:r w:rsidRPr="007E7E99">
              <w:rPr>
                <w:rFonts w:ascii="Times New Roman" w:eastAsia="Times New Roman" w:hAnsi="Times New Roman" w:cs="Times New Roman"/>
                <w:b/>
                <w:sz w:val="20"/>
              </w:rPr>
              <w:t>DNA directed RNA polymerase beta subunit</w:t>
            </w:r>
          </w:p>
        </w:tc>
        <w:tc>
          <w:tcPr>
            <w:tcW w:w="11240" w:type="dxa"/>
            <w:shd w:val="clear" w:color="auto" w:fill="auto"/>
            <w:tcMar>
              <w:top w:w="100" w:type="dxa"/>
              <w:left w:w="100" w:type="dxa"/>
              <w:bottom w:w="100" w:type="dxa"/>
              <w:right w:w="100" w:type="dxa"/>
            </w:tcMar>
          </w:tcPr>
          <w:p w14:paraId="2076EE84" w14:textId="77777777" w:rsidR="00C2279B" w:rsidRPr="00687BB5" w:rsidRDefault="00C2279B" w:rsidP="00687BB5">
            <w:pPr>
              <w:spacing w:line="240" w:lineRule="auto"/>
              <w:rPr>
                <w:rFonts w:ascii="Times New Roman" w:eastAsia="Times New Roman" w:hAnsi="Times New Roman" w:cs="Times New Roman"/>
                <w:sz w:val="20"/>
              </w:rPr>
            </w:pPr>
            <w:r w:rsidRPr="00687BB5">
              <w:rPr>
                <w:rFonts w:ascii="Times New Roman" w:eastAsia="Times New Roman" w:hAnsi="Times New Roman" w:cs="Times New Roman"/>
                <w:sz w:val="20"/>
              </w:rPr>
              <w:t xml:space="preserve"> A multi subunit enzyme that is involved in the polymerization of the complementary RNA strand to the template DNA. The beta subunit is part of the RNA Polymerase Complex that holds the whole RNA Polymerase to the DNA strand. </w:t>
            </w:r>
          </w:p>
        </w:tc>
      </w:tr>
      <w:tr w:rsidR="00C2279B" w:rsidRPr="00687BB5" w14:paraId="66D684D0" w14:textId="77777777" w:rsidTr="00687BB5">
        <w:trPr>
          <w:trHeight w:val="474"/>
        </w:trPr>
        <w:tc>
          <w:tcPr>
            <w:tcW w:w="2340" w:type="dxa"/>
            <w:shd w:val="clear" w:color="auto" w:fill="auto"/>
            <w:tcMar>
              <w:top w:w="100" w:type="dxa"/>
              <w:left w:w="100" w:type="dxa"/>
              <w:bottom w:w="100" w:type="dxa"/>
              <w:right w:w="100" w:type="dxa"/>
            </w:tcMar>
          </w:tcPr>
          <w:p w14:paraId="2725C4E8" w14:textId="77777777" w:rsidR="00C2279B" w:rsidRPr="007E7E99" w:rsidRDefault="00C2279B" w:rsidP="00687BB5">
            <w:pPr>
              <w:spacing w:after="0" w:line="240" w:lineRule="auto"/>
              <w:rPr>
                <w:rFonts w:ascii="Times New Roman" w:eastAsia="Times New Roman" w:hAnsi="Times New Roman" w:cs="Times New Roman"/>
                <w:b/>
                <w:sz w:val="20"/>
              </w:rPr>
            </w:pPr>
            <w:r w:rsidRPr="007E7E99">
              <w:rPr>
                <w:rFonts w:ascii="Times New Roman" w:eastAsia="Times New Roman" w:hAnsi="Times New Roman" w:cs="Times New Roman"/>
                <w:b/>
                <w:sz w:val="20"/>
              </w:rPr>
              <w:t>Topoisomerase IV subunit A and B</w:t>
            </w:r>
          </w:p>
        </w:tc>
        <w:tc>
          <w:tcPr>
            <w:tcW w:w="11240" w:type="dxa"/>
            <w:shd w:val="clear" w:color="auto" w:fill="auto"/>
            <w:tcMar>
              <w:top w:w="100" w:type="dxa"/>
              <w:left w:w="100" w:type="dxa"/>
              <w:bottom w:w="100" w:type="dxa"/>
              <w:right w:w="100" w:type="dxa"/>
            </w:tcMar>
          </w:tcPr>
          <w:p w14:paraId="6EFFCFDF" w14:textId="77777777" w:rsidR="00C2279B" w:rsidRPr="00687BB5" w:rsidRDefault="00C2279B" w:rsidP="00687BB5">
            <w:pPr>
              <w:spacing w:after="0" w:line="240" w:lineRule="auto"/>
              <w:rPr>
                <w:rFonts w:ascii="Times New Roman" w:eastAsia="Times New Roman" w:hAnsi="Times New Roman" w:cs="Times New Roman"/>
                <w:sz w:val="20"/>
              </w:rPr>
            </w:pPr>
            <w:r w:rsidRPr="00687BB5">
              <w:rPr>
                <w:rFonts w:ascii="Times New Roman" w:eastAsia="Times New Roman" w:hAnsi="Times New Roman" w:cs="Times New Roman"/>
                <w:sz w:val="20"/>
              </w:rPr>
              <w:t>Breaks the link between DNA strands and relaxes the positive supercoil which is essential in the DNA replication process. The subunits work together to ‘relax’ the DNA.</w:t>
            </w:r>
          </w:p>
        </w:tc>
      </w:tr>
      <w:tr w:rsidR="00C2279B" w:rsidRPr="00687BB5" w14:paraId="214015F0" w14:textId="77777777" w:rsidTr="00687BB5">
        <w:trPr>
          <w:trHeight w:val="420"/>
        </w:trPr>
        <w:tc>
          <w:tcPr>
            <w:tcW w:w="2340" w:type="dxa"/>
            <w:shd w:val="clear" w:color="auto" w:fill="auto"/>
            <w:tcMar>
              <w:top w:w="100" w:type="dxa"/>
              <w:left w:w="100" w:type="dxa"/>
              <w:bottom w:w="100" w:type="dxa"/>
              <w:right w:w="100" w:type="dxa"/>
            </w:tcMar>
          </w:tcPr>
          <w:p w14:paraId="4EB2017E" w14:textId="77777777" w:rsidR="00C2279B" w:rsidRPr="007E7E99" w:rsidRDefault="00C2279B" w:rsidP="00687BB5">
            <w:pPr>
              <w:spacing w:after="0" w:line="240" w:lineRule="auto"/>
              <w:rPr>
                <w:rFonts w:ascii="Times New Roman" w:eastAsia="Times New Roman" w:hAnsi="Times New Roman" w:cs="Times New Roman"/>
                <w:b/>
                <w:sz w:val="20"/>
              </w:rPr>
            </w:pPr>
            <w:r w:rsidRPr="007E7E99">
              <w:rPr>
                <w:rFonts w:ascii="Times New Roman" w:eastAsia="Times New Roman" w:hAnsi="Times New Roman" w:cs="Times New Roman"/>
                <w:b/>
                <w:sz w:val="20"/>
              </w:rPr>
              <w:t>Translation initiation factor 3</w:t>
            </w:r>
          </w:p>
        </w:tc>
        <w:tc>
          <w:tcPr>
            <w:tcW w:w="11240" w:type="dxa"/>
            <w:shd w:val="clear" w:color="auto" w:fill="auto"/>
            <w:tcMar>
              <w:top w:w="100" w:type="dxa"/>
              <w:left w:w="100" w:type="dxa"/>
              <w:bottom w:w="100" w:type="dxa"/>
              <w:right w:w="100" w:type="dxa"/>
            </w:tcMar>
          </w:tcPr>
          <w:p w14:paraId="1DF02820" w14:textId="15AC6A51" w:rsidR="00C2279B" w:rsidRPr="00687BB5" w:rsidRDefault="00C2279B" w:rsidP="00687BB5">
            <w:pPr>
              <w:spacing w:after="0" w:line="240" w:lineRule="auto"/>
              <w:rPr>
                <w:rFonts w:ascii="Times New Roman" w:eastAsia="Times New Roman" w:hAnsi="Times New Roman" w:cs="Times New Roman"/>
                <w:sz w:val="20"/>
              </w:rPr>
            </w:pPr>
            <w:r w:rsidRPr="00687BB5">
              <w:rPr>
                <w:rFonts w:ascii="Times New Roman" w:eastAsia="Times New Roman" w:hAnsi="Times New Roman" w:cs="Times New Roman"/>
                <w:sz w:val="20"/>
              </w:rPr>
              <w:t xml:space="preserve">One of three factors that are needed for the start of protein synthesis in bacteria. It binds to the 30S ribosomal subunit and is part of an initiation complex that </w:t>
            </w:r>
            <w:proofErr w:type="gramStart"/>
            <w:r w:rsidRPr="00687BB5">
              <w:rPr>
                <w:rFonts w:ascii="Times New Roman" w:eastAsia="Times New Roman" w:hAnsi="Times New Roman" w:cs="Times New Roman"/>
                <w:sz w:val="20"/>
              </w:rPr>
              <w:t>encompasses  and</w:t>
            </w:r>
            <w:proofErr w:type="gramEnd"/>
            <w:r w:rsidRPr="00687BB5">
              <w:rPr>
                <w:rFonts w:ascii="Times New Roman" w:eastAsia="Times New Roman" w:hAnsi="Times New Roman" w:cs="Times New Roman"/>
                <w:sz w:val="20"/>
              </w:rPr>
              <w:t xml:space="preserve"> holds together the 30S ribosomal subunit, initiator tRNA and the mRNA.</w:t>
            </w:r>
          </w:p>
        </w:tc>
      </w:tr>
      <w:tr w:rsidR="00C2279B" w:rsidRPr="00687BB5" w14:paraId="216DB742" w14:textId="77777777" w:rsidTr="00687BB5">
        <w:trPr>
          <w:trHeight w:val="137"/>
        </w:trPr>
        <w:tc>
          <w:tcPr>
            <w:tcW w:w="2340" w:type="dxa"/>
            <w:shd w:val="clear" w:color="auto" w:fill="auto"/>
            <w:tcMar>
              <w:top w:w="100" w:type="dxa"/>
              <w:left w:w="100" w:type="dxa"/>
              <w:bottom w:w="100" w:type="dxa"/>
              <w:right w:w="100" w:type="dxa"/>
            </w:tcMar>
          </w:tcPr>
          <w:p w14:paraId="32966883" w14:textId="77777777" w:rsidR="00C2279B" w:rsidRPr="007E7E99" w:rsidRDefault="00C2279B" w:rsidP="00687BB5">
            <w:pPr>
              <w:spacing w:after="0" w:line="240" w:lineRule="auto"/>
              <w:rPr>
                <w:rFonts w:ascii="Times New Roman" w:eastAsia="Times New Roman" w:hAnsi="Times New Roman" w:cs="Times New Roman"/>
                <w:b/>
                <w:sz w:val="20"/>
              </w:rPr>
            </w:pPr>
            <w:r w:rsidRPr="007E7E99">
              <w:rPr>
                <w:rFonts w:ascii="Times New Roman" w:eastAsia="Times New Roman" w:hAnsi="Times New Roman" w:cs="Times New Roman"/>
                <w:b/>
                <w:sz w:val="20"/>
              </w:rPr>
              <w:t>Translation elongation factor Tu</w:t>
            </w:r>
          </w:p>
        </w:tc>
        <w:tc>
          <w:tcPr>
            <w:tcW w:w="11240" w:type="dxa"/>
            <w:shd w:val="clear" w:color="auto" w:fill="auto"/>
            <w:tcMar>
              <w:top w:w="100" w:type="dxa"/>
              <w:left w:w="100" w:type="dxa"/>
              <w:bottom w:w="100" w:type="dxa"/>
              <w:right w:w="100" w:type="dxa"/>
            </w:tcMar>
          </w:tcPr>
          <w:p w14:paraId="4F3438A3" w14:textId="77777777" w:rsidR="00C2279B" w:rsidRPr="00687BB5" w:rsidRDefault="00C2279B" w:rsidP="00F55A58">
            <w:pPr>
              <w:spacing w:after="0" w:line="240" w:lineRule="auto"/>
              <w:rPr>
                <w:rFonts w:ascii="Times New Roman" w:eastAsia="Times New Roman" w:hAnsi="Times New Roman" w:cs="Times New Roman"/>
                <w:sz w:val="20"/>
              </w:rPr>
            </w:pPr>
            <w:r w:rsidRPr="00687BB5">
              <w:rPr>
                <w:rFonts w:ascii="Times New Roman" w:eastAsia="Times New Roman" w:hAnsi="Times New Roman" w:cs="Times New Roman"/>
                <w:sz w:val="20"/>
              </w:rPr>
              <w:t>One of many GTP binding elongation factors. It is highly conserved among bacteria and when it is coupled to GTP, EF-Tu forms a complex with an amino-acylated tRNA.</w:t>
            </w:r>
          </w:p>
        </w:tc>
      </w:tr>
      <w:tr w:rsidR="00C2279B" w:rsidRPr="00687BB5" w14:paraId="0B67785F" w14:textId="77777777" w:rsidTr="00687BB5">
        <w:trPr>
          <w:trHeight w:val="137"/>
        </w:trPr>
        <w:tc>
          <w:tcPr>
            <w:tcW w:w="2340" w:type="dxa"/>
            <w:shd w:val="clear" w:color="auto" w:fill="auto"/>
            <w:tcMar>
              <w:top w:w="100" w:type="dxa"/>
              <w:left w:w="100" w:type="dxa"/>
              <w:bottom w:w="100" w:type="dxa"/>
              <w:right w:w="100" w:type="dxa"/>
            </w:tcMar>
          </w:tcPr>
          <w:p w14:paraId="091C23FD" w14:textId="77777777" w:rsidR="00C2279B" w:rsidRPr="007E7E99" w:rsidRDefault="00C2279B" w:rsidP="00687BB5">
            <w:pPr>
              <w:spacing w:after="0" w:line="240" w:lineRule="auto"/>
              <w:rPr>
                <w:rFonts w:ascii="Times New Roman" w:eastAsia="Times New Roman" w:hAnsi="Times New Roman" w:cs="Times New Roman"/>
                <w:b/>
                <w:sz w:val="20"/>
              </w:rPr>
            </w:pPr>
            <w:r w:rsidRPr="007E7E99">
              <w:rPr>
                <w:rFonts w:ascii="Times New Roman" w:eastAsia="Times New Roman" w:hAnsi="Times New Roman" w:cs="Times New Roman"/>
                <w:b/>
                <w:sz w:val="20"/>
              </w:rPr>
              <w:t>Translation elongation factor G</w:t>
            </w:r>
          </w:p>
        </w:tc>
        <w:tc>
          <w:tcPr>
            <w:tcW w:w="11240" w:type="dxa"/>
            <w:shd w:val="clear" w:color="auto" w:fill="auto"/>
            <w:tcMar>
              <w:top w:w="100" w:type="dxa"/>
              <w:left w:w="100" w:type="dxa"/>
              <w:bottom w:w="100" w:type="dxa"/>
              <w:right w:w="100" w:type="dxa"/>
            </w:tcMar>
          </w:tcPr>
          <w:p w14:paraId="179D5F8E" w14:textId="77777777" w:rsidR="00C2279B" w:rsidRPr="00687BB5" w:rsidRDefault="00C2279B" w:rsidP="00F55A58">
            <w:pPr>
              <w:spacing w:after="0" w:line="240" w:lineRule="auto"/>
              <w:rPr>
                <w:rFonts w:ascii="Times New Roman" w:eastAsia="Times New Roman" w:hAnsi="Times New Roman" w:cs="Times New Roman"/>
                <w:sz w:val="20"/>
              </w:rPr>
            </w:pPr>
            <w:r w:rsidRPr="00687BB5">
              <w:rPr>
                <w:rFonts w:ascii="Times New Roman" w:eastAsia="Times New Roman" w:hAnsi="Times New Roman" w:cs="Times New Roman"/>
                <w:sz w:val="20"/>
              </w:rPr>
              <w:t>It is GTP-dependent in translocation of peptidyl tRNA protein chain from the acceptor site to the peptidyl tRNA site (P site) of the ribosome. Once translation is terminated, EFG and a ribosomal recycling factor help release the two mRNAs from the ribosome and split the ribosome into its two subunits.</w:t>
            </w:r>
          </w:p>
        </w:tc>
      </w:tr>
      <w:tr w:rsidR="00C2279B" w:rsidRPr="00687BB5" w14:paraId="16376281" w14:textId="77777777" w:rsidTr="00687BB5">
        <w:trPr>
          <w:trHeight w:val="137"/>
        </w:trPr>
        <w:tc>
          <w:tcPr>
            <w:tcW w:w="2340" w:type="dxa"/>
            <w:shd w:val="clear" w:color="auto" w:fill="auto"/>
            <w:tcMar>
              <w:top w:w="100" w:type="dxa"/>
              <w:left w:w="100" w:type="dxa"/>
              <w:bottom w:w="100" w:type="dxa"/>
              <w:right w:w="100" w:type="dxa"/>
            </w:tcMar>
          </w:tcPr>
          <w:p w14:paraId="1B818751" w14:textId="77777777" w:rsidR="00C2279B" w:rsidRPr="007E7E99" w:rsidRDefault="00C2279B" w:rsidP="00687BB5">
            <w:pPr>
              <w:spacing w:after="0" w:line="240" w:lineRule="auto"/>
              <w:rPr>
                <w:rFonts w:ascii="Times New Roman" w:eastAsia="Times New Roman" w:hAnsi="Times New Roman" w:cs="Times New Roman"/>
                <w:b/>
                <w:sz w:val="20"/>
              </w:rPr>
            </w:pPr>
            <w:r w:rsidRPr="007E7E99">
              <w:rPr>
                <w:rFonts w:ascii="Times New Roman" w:eastAsia="Times New Roman" w:hAnsi="Times New Roman" w:cs="Times New Roman"/>
                <w:b/>
                <w:sz w:val="20"/>
              </w:rPr>
              <w:t>LSU ribosomal proteins 20p and 35p</w:t>
            </w:r>
          </w:p>
        </w:tc>
        <w:tc>
          <w:tcPr>
            <w:tcW w:w="11240" w:type="dxa"/>
            <w:shd w:val="clear" w:color="auto" w:fill="auto"/>
            <w:tcMar>
              <w:top w:w="100" w:type="dxa"/>
              <w:left w:w="100" w:type="dxa"/>
              <w:bottom w:w="100" w:type="dxa"/>
              <w:right w:w="100" w:type="dxa"/>
            </w:tcMar>
          </w:tcPr>
          <w:p w14:paraId="5330E7BF" w14:textId="77777777" w:rsidR="00C2279B" w:rsidRPr="00687BB5" w:rsidRDefault="00C2279B" w:rsidP="00F55A58">
            <w:pPr>
              <w:spacing w:after="0" w:line="240" w:lineRule="auto"/>
              <w:rPr>
                <w:rFonts w:ascii="Times New Roman" w:eastAsia="Times New Roman" w:hAnsi="Times New Roman" w:cs="Times New Roman"/>
                <w:sz w:val="20"/>
              </w:rPr>
            </w:pPr>
            <w:r w:rsidRPr="00687BB5">
              <w:rPr>
                <w:rFonts w:ascii="Times New Roman" w:eastAsia="Times New Roman" w:hAnsi="Times New Roman" w:cs="Times New Roman"/>
                <w:sz w:val="20"/>
              </w:rPr>
              <w:t>It is the larger of the major ribosomal RNA components of the ribosome. It is designated as the hub for protein synthesis. The numbers represent how big the component is.</w:t>
            </w:r>
          </w:p>
        </w:tc>
      </w:tr>
      <w:tr w:rsidR="00C2279B" w:rsidRPr="00687BB5" w14:paraId="13824C13" w14:textId="77777777" w:rsidTr="00687BB5">
        <w:trPr>
          <w:trHeight w:val="249"/>
        </w:trPr>
        <w:tc>
          <w:tcPr>
            <w:tcW w:w="2340" w:type="dxa"/>
            <w:shd w:val="clear" w:color="auto" w:fill="auto"/>
            <w:tcMar>
              <w:top w:w="100" w:type="dxa"/>
              <w:left w:w="100" w:type="dxa"/>
              <w:bottom w:w="100" w:type="dxa"/>
              <w:right w:w="100" w:type="dxa"/>
            </w:tcMar>
          </w:tcPr>
          <w:p w14:paraId="65CAB9B7" w14:textId="77777777" w:rsidR="00C2279B" w:rsidRPr="007E7E99" w:rsidRDefault="00C2279B" w:rsidP="00687BB5">
            <w:pPr>
              <w:widowControl w:val="0"/>
              <w:pBdr>
                <w:top w:val="nil"/>
                <w:left w:val="nil"/>
                <w:bottom w:val="nil"/>
                <w:right w:val="nil"/>
                <w:between w:val="nil"/>
              </w:pBdr>
              <w:spacing w:after="0" w:line="240" w:lineRule="auto"/>
              <w:rPr>
                <w:rFonts w:ascii="Times New Roman" w:eastAsia="Times New Roman" w:hAnsi="Times New Roman" w:cs="Times New Roman"/>
                <w:b/>
                <w:sz w:val="20"/>
              </w:rPr>
            </w:pPr>
            <w:r w:rsidRPr="007E7E99">
              <w:rPr>
                <w:rFonts w:ascii="Times New Roman" w:eastAsia="Times New Roman" w:hAnsi="Times New Roman" w:cs="Times New Roman"/>
                <w:b/>
                <w:sz w:val="20"/>
              </w:rPr>
              <w:t>SSU ribosomal proteins 7p and 12p</w:t>
            </w:r>
          </w:p>
        </w:tc>
        <w:tc>
          <w:tcPr>
            <w:tcW w:w="11240" w:type="dxa"/>
            <w:shd w:val="clear" w:color="auto" w:fill="auto"/>
            <w:tcMar>
              <w:top w:w="100" w:type="dxa"/>
              <w:left w:w="100" w:type="dxa"/>
              <w:bottom w:w="100" w:type="dxa"/>
              <w:right w:w="100" w:type="dxa"/>
            </w:tcMar>
          </w:tcPr>
          <w:p w14:paraId="2D438CEE" w14:textId="77777777" w:rsidR="00C2279B" w:rsidRPr="00687BB5" w:rsidRDefault="00C2279B" w:rsidP="00687BB5">
            <w:pPr>
              <w:spacing w:after="0" w:line="240" w:lineRule="auto"/>
              <w:rPr>
                <w:rFonts w:ascii="Times New Roman" w:eastAsia="Times New Roman" w:hAnsi="Times New Roman" w:cs="Times New Roman"/>
                <w:sz w:val="20"/>
              </w:rPr>
            </w:pPr>
            <w:r w:rsidRPr="00687BB5">
              <w:rPr>
                <w:rFonts w:ascii="Times New Roman" w:eastAsia="Times New Roman" w:hAnsi="Times New Roman" w:cs="Times New Roman"/>
                <w:sz w:val="20"/>
              </w:rPr>
              <w:t>It is the smaller of the major ribosomal RNA components of the ribosome. Smaller subunit of the ribosome. The numbers represent how big the component is.</w:t>
            </w:r>
          </w:p>
        </w:tc>
      </w:tr>
    </w:tbl>
    <w:p w14:paraId="08AD1E91" w14:textId="77777777" w:rsidR="00C2279B" w:rsidRDefault="00C2279B"/>
    <w:p w14:paraId="747A53D9" w14:textId="77777777" w:rsidR="00687BB5" w:rsidRDefault="00687BB5"/>
    <w:p w14:paraId="13EFAE5C" w14:textId="77777777" w:rsidR="007E7E99" w:rsidRDefault="007E7E99"/>
    <w:tbl>
      <w:tblPr>
        <w:tblStyle w:val="TableGrid"/>
        <w:tblW w:w="0" w:type="auto"/>
        <w:tblInd w:w="-635" w:type="dxa"/>
        <w:tblLook w:val="04A0" w:firstRow="1" w:lastRow="0" w:firstColumn="1" w:lastColumn="0" w:noHBand="0" w:noVBand="1"/>
      </w:tblPr>
      <w:tblGrid>
        <w:gridCol w:w="1301"/>
        <w:gridCol w:w="12284"/>
      </w:tblGrid>
      <w:tr w:rsidR="00875482" w14:paraId="727829FD" w14:textId="77777777" w:rsidTr="001A1FAE">
        <w:tc>
          <w:tcPr>
            <w:tcW w:w="0" w:type="auto"/>
          </w:tcPr>
          <w:p w14:paraId="6D00C314" w14:textId="77777777" w:rsidR="00875482" w:rsidRPr="00A17D96" w:rsidRDefault="00875482" w:rsidP="00F55A58">
            <w:pPr>
              <w:jc w:val="center"/>
              <w:rPr>
                <w:sz w:val="20"/>
                <w:szCs w:val="20"/>
              </w:rPr>
            </w:pPr>
            <w:r w:rsidRPr="00A17D96">
              <w:rPr>
                <w:sz w:val="20"/>
                <w:szCs w:val="20"/>
              </w:rPr>
              <w:t>Genes</w:t>
            </w:r>
          </w:p>
        </w:tc>
        <w:tc>
          <w:tcPr>
            <w:tcW w:w="0" w:type="auto"/>
          </w:tcPr>
          <w:p w14:paraId="5148D74B" w14:textId="77777777" w:rsidR="00875482" w:rsidRPr="00A17D96" w:rsidRDefault="00875482" w:rsidP="00F55A58">
            <w:pPr>
              <w:jc w:val="center"/>
              <w:rPr>
                <w:sz w:val="20"/>
                <w:szCs w:val="20"/>
              </w:rPr>
            </w:pPr>
            <w:r w:rsidRPr="00A17D96">
              <w:rPr>
                <w:sz w:val="20"/>
                <w:szCs w:val="20"/>
              </w:rPr>
              <w:t>Function</w:t>
            </w:r>
          </w:p>
        </w:tc>
      </w:tr>
      <w:tr w:rsidR="00875482" w14:paraId="659D4FDF" w14:textId="77777777" w:rsidTr="001A1FAE">
        <w:tc>
          <w:tcPr>
            <w:tcW w:w="0" w:type="auto"/>
          </w:tcPr>
          <w:p w14:paraId="06EFD5A3" w14:textId="77777777" w:rsidR="00875482" w:rsidRPr="004B3B6E" w:rsidRDefault="00875482" w:rsidP="00F55A58">
            <w:pPr>
              <w:jc w:val="center"/>
              <w:rPr>
                <w:i/>
                <w:iCs/>
                <w:sz w:val="20"/>
                <w:szCs w:val="20"/>
              </w:rPr>
            </w:pPr>
            <w:proofErr w:type="spellStart"/>
            <w:r w:rsidRPr="004B3B6E">
              <w:rPr>
                <w:b/>
                <w:bCs/>
                <w:i/>
                <w:iCs/>
                <w:color w:val="000000"/>
                <w:sz w:val="20"/>
                <w:szCs w:val="20"/>
                <w:shd w:val="clear" w:color="auto" w:fill="FFFFFF"/>
              </w:rPr>
              <w:t>PgaABCD</w:t>
            </w:r>
            <w:proofErr w:type="spellEnd"/>
          </w:p>
        </w:tc>
        <w:tc>
          <w:tcPr>
            <w:tcW w:w="0" w:type="auto"/>
          </w:tcPr>
          <w:p w14:paraId="39E3721B" w14:textId="77777777" w:rsidR="00875482" w:rsidRPr="00E76B39" w:rsidRDefault="00875482" w:rsidP="001A1FAE">
            <w:pPr>
              <w:rPr>
                <w:rFonts w:ascii="Times New Roman" w:hAnsi="Times New Roman" w:cs="Times New Roman"/>
                <w:color w:val="000000"/>
                <w:sz w:val="20"/>
                <w:szCs w:val="20"/>
                <w:shd w:val="clear" w:color="auto" w:fill="FFFFFF"/>
              </w:rPr>
            </w:pPr>
            <w:r w:rsidRPr="00E76B39">
              <w:rPr>
                <w:rFonts w:ascii="Times New Roman" w:hAnsi="Times New Roman" w:cs="Times New Roman"/>
                <w:color w:val="000000"/>
                <w:sz w:val="20"/>
                <w:szCs w:val="20"/>
                <w:shd w:val="clear" w:color="auto" w:fill="FFFFFF"/>
              </w:rPr>
              <w:t>The linear homopolymer poly-β-1,6-</w:t>
            </w:r>
            <w:r w:rsidRPr="00E76B39">
              <w:rPr>
                <w:rFonts w:ascii="Times New Roman" w:hAnsi="Times New Roman" w:cs="Times New Roman"/>
                <w:i/>
                <w:iCs/>
                <w:color w:val="000000"/>
                <w:sz w:val="20"/>
                <w:szCs w:val="20"/>
                <w:bdr w:val="none" w:sz="0" w:space="0" w:color="auto" w:frame="1"/>
              </w:rPr>
              <w:t>N</w:t>
            </w:r>
            <w:r w:rsidRPr="00E76B39">
              <w:rPr>
                <w:rFonts w:ascii="Times New Roman" w:hAnsi="Times New Roman" w:cs="Times New Roman"/>
                <w:color w:val="000000"/>
                <w:sz w:val="20"/>
                <w:szCs w:val="20"/>
                <w:shd w:val="clear" w:color="auto" w:fill="FFFFFF"/>
              </w:rPr>
              <w:t>-acetyl-</w:t>
            </w:r>
            <w:r w:rsidRPr="00E76B39">
              <w:rPr>
                <w:rFonts w:ascii="Times New Roman" w:hAnsi="Times New Roman" w:cs="Times New Roman"/>
                <w:color w:val="000000"/>
                <w:sz w:val="20"/>
                <w:szCs w:val="20"/>
                <w:bdr w:val="none" w:sz="0" w:space="0" w:color="auto" w:frame="1"/>
              </w:rPr>
              <w:t>d</w:t>
            </w:r>
            <w:r w:rsidRPr="00E76B39">
              <w:rPr>
                <w:rFonts w:ascii="Times New Roman" w:hAnsi="Times New Roman" w:cs="Times New Roman"/>
                <w:color w:val="000000"/>
                <w:sz w:val="20"/>
                <w:szCs w:val="20"/>
                <w:shd w:val="clear" w:color="auto" w:fill="FFFFFF"/>
              </w:rPr>
              <w:t>-glucosamine (β-1,6-GlcNAc; PGA) is a polysaccharide in the matri</w:t>
            </w:r>
            <w:r w:rsidR="004A223D" w:rsidRPr="00E76B39">
              <w:rPr>
                <w:rFonts w:ascii="Times New Roman" w:hAnsi="Times New Roman" w:cs="Times New Roman"/>
                <w:color w:val="000000"/>
                <w:sz w:val="20"/>
                <w:szCs w:val="20"/>
                <w:shd w:val="clear" w:color="auto" w:fill="FFFFFF"/>
              </w:rPr>
              <w:t>x</w:t>
            </w:r>
            <w:r w:rsidRPr="00E76B39">
              <w:rPr>
                <w:rFonts w:ascii="Times New Roman" w:hAnsi="Times New Roman" w:cs="Times New Roman"/>
                <w:color w:val="000000"/>
                <w:sz w:val="20"/>
                <w:szCs w:val="20"/>
                <w:shd w:val="clear" w:color="auto" w:fill="FFFFFF"/>
              </w:rPr>
              <w:t xml:space="preserve"> that serves as an adhesin for the maintenance of biofilm structural stability in diverse eubacteria.</w:t>
            </w:r>
            <w:r w:rsidRPr="00E76B39">
              <w:rPr>
                <w:rFonts w:ascii="Times New Roman" w:hAnsi="Times New Roman" w:cs="Times New Roman"/>
                <w:sz w:val="20"/>
                <w:szCs w:val="20"/>
              </w:rPr>
              <w:t xml:space="preserve"> </w:t>
            </w:r>
            <w:r w:rsidRPr="00E76B39">
              <w:rPr>
                <w:rFonts w:ascii="Times New Roman" w:hAnsi="Times New Roman" w:cs="Times New Roman"/>
                <w:color w:val="000000"/>
                <w:sz w:val="20"/>
                <w:szCs w:val="20"/>
                <w:shd w:val="clear" w:color="auto" w:fill="FFFFFF"/>
              </w:rPr>
              <w:t xml:space="preserve">Molecular genetic approaches have also shown that </w:t>
            </w:r>
            <w:proofErr w:type="spellStart"/>
            <w:r w:rsidRPr="00E76B39">
              <w:rPr>
                <w:rFonts w:ascii="Times New Roman" w:hAnsi="Times New Roman" w:cs="Times New Roman"/>
                <w:i/>
                <w:iCs/>
                <w:color w:val="000000"/>
                <w:sz w:val="20"/>
                <w:szCs w:val="20"/>
                <w:shd w:val="clear" w:color="auto" w:fill="FFFFFF"/>
              </w:rPr>
              <w:t>PgaC</w:t>
            </w:r>
            <w:proofErr w:type="spellEnd"/>
            <w:r w:rsidRPr="00E76B39">
              <w:rPr>
                <w:rFonts w:ascii="Times New Roman" w:hAnsi="Times New Roman" w:cs="Times New Roman"/>
                <w:color w:val="000000"/>
                <w:sz w:val="20"/>
                <w:szCs w:val="20"/>
                <w:shd w:val="clear" w:color="auto" w:fill="FFFFFF"/>
              </w:rPr>
              <w:t xml:space="preserve"> and </w:t>
            </w:r>
            <w:proofErr w:type="spellStart"/>
            <w:r w:rsidRPr="00E76B39">
              <w:rPr>
                <w:rFonts w:ascii="Times New Roman" w:hAnsi="Times New Roman" w:cs="Times New Roman"/>
                <w:i/>
                <w:iCs/>
                <w:color w:val="000000"/>
                <w:sz w:val="20"/>
                <w:szCs w:val="20"/>
                <w:shd w:val="clear" w:color="auto" w:fill="FFFFFF"/>
              </w:rPr>
              <w:t>PgaD</w:t>
            </w:r>
            <w:proofErr w:type="spellEnd"/>
            <w:r w:rsidRPr="00E76B39">
              <w:rPr>
                <w:rFonts w:ascii="Times New Roman" w:hAnsi="Times New Roman" w:cs="Times New Roman"/>
                <w:color w:val="000000"/>
                <w:sz w:val="20"/>
                <w:szCs w:val="20"/>
                <w:shd w:val="clear" w:color="auto" w:fill="FFFFFF"/>
              </w:rPr>
              <w:t xml:space="preserve"> are necessary for the biosynthesis of PGA, while </w:t>
            </w:r>
            <w:proofErr w:type="spellStart"/>
            <w:r w:rsidRPr="00E76B39">
              <w:rPr>
                <w:rFonts w:ascii="Times New Roman" w:hAnsi="Times New Roman" w:cs="Times New Roman"/>
                <w:i/>
                <w:iCs/>
                <w:color w:val="000000"/>
                <w:sz w:val="20"/>
                <w:szCs w:val="20"/>
                <w:shd w:val="clear" w:color="auto" w:fill="FFFFFF"/>
              </w:rPr>
              <w:t>PgaB</w:t>
            </w:r>
            <w:proofErr w:type="spellEnd"/>
            <w:r w:rsidRPr="00E76B39">
              <w:rPr>
                <w:rFonts w:ascii="Times New Roman" w:hAnsi="Times New Roman" w:cs="Times New Roman"/>
                <w:color w:val="000000"/>
                <w:sz w:val="20"/>
                <w:szCs w:val="20"/>
                <w:shd w:val="clear" w:color="auto" w:fill="FFFFFF"/>
              </w:rPr>
              <w:t xml:space="preserve"> is an </w:t>
            </w:r>
            <w:r w:rsidRPr="00E76B39">
              <w:rPr>
                <w:rFonts w:ascii="Times New Roman" w:hAnsi="Times New Roman" w:cs="Times New Roman"/>
                <w:i/>
                <w:iCs/>
                <w:color w:val="000000"/>
                <w:sz w:val="20"/>
                <w:szCs w:val="20"/>
                <w:bdr w:val="none" w:sz="0" w:space="0" w:color="auto" w:frame="1"/>
              </w:rPr>
              <w:t>N</w:t>
            </w:r>
            <w:r w:rsidRPr="00E76B39">
              <w:rPr>
                <w:rFonts w:ascii="Times New Roman" w:hAnsi="Times New Roman" w:cs="Times New Roman"/>
                <w:color w:val="000000"/>
                <w:sz w:val="20"/>
                <w:szCs w:val="20"/>
                <w:shd w:val="clear" w:color="auto" w:fill="FFFFFF"/>
              </w:rPr>
              <w:t xml:space="preserve">-deacetylase whose catalytic activity, along with </w:t>
            </w:r>
            <w:proofErr w:type="spellStart"/>
            <w:r w:rsidRPr="00E76B39">
              <w:rPr>
                <w:rFonts w:ascii="Times New Roman" w:hAnsi="Times New Roman" w:cs="Times New Roman"/>
                <w:i/>
                <w:iCs/>
                <w:color w:val="000000"/>
                <w:sz w:val="20"/>
                <w:szCs w:val="20"/>
                <w:shd w:val="clear" w:color="auto" w:fill="FFFFFF"/>
              </w:rPr>
              <w:t>PgaA</w:t>
            </w:r>
            <w:proofErr w:type="spellEnd"/>
            <w:r w:rsidRPr="00E76B39">
              <w:rPr>
                <w:rFonts w:ascii="Times New Roman" w:hAnsi="Times New Roman" w:cs="Times New Roman"/>
                <w:color w:val="000000"/>
                <w:sz w:val="20"/>
                <w:szCs w:val="20"/>
                <w:shd w:val="clear" w:color="auto" w:fill="FFFFFF"/>
              </w:rPr>
              <w:t>, is necessary for PGA export from the periplasm.[5]</w:t>
            </w:r>
          </w:p>
        </w:tc>
      </w:tr>
      <w:tr w:rsidR="00875482" w14:paraId="4C70A554" w14:textId="77777777" w:rsidTr="001A1FAE">
        <w:tc>
          <w:tcPr>
            <w:tcW w:w="0" w:type="auto"/>
          </w:tcPr>
          <w:p w14:paraId="5F0E0496" w14:textId="77777777" w:rsidR="00875482" w:rsidRPr="004B3B6E" w:rsidRDefault="00875482" w:rsidP="00F55A58">
            <w:pPr>
              <w:jc w:val="center"/>
              <w:rPr>
                <w:i/>
                <w:iCs/>
                <w:sz w:val="20"/>
                <w:szCs w:val="20"/>
              </w:rPr>
            </w:pPr>
            <w:r w:rsidRPr="004B3B6E">
              <w:rPr>
                <w:b/>
                <w:bCs/>
                <w:i/>
                <w:iCs/>
                <w:color w:val="000000"/>
                <w:sz w:val="20"/>
                <w:szCs w:val="20"/>
              </w:rPr>
              <w:t>AI-</w:t>
            </w:r>
            <w:r w:rsidR="00E10FA0" w:rsidRPr="004B3B6E">
              <w:rPr>
                <w:b/>
                <w:bCs/>
                <w:i/>
                <w:iCs/>
                <w:color w:val="000000"/>
                <w:sz w:val="20"/>
                <w:szCs w:val="20"/>
              </w:rPr>
              <w:t xml:space="preserve"> </w:t>
            </w:r>
            <w:proofErr w:type="spellStart"/>
            <w:r w:rsidR="00E10FA0" w:rsidRPr="004B3B6E">
              <w:rPr>
                <w:b/>
                <w:bCs/>
                <w:i/>
                <w:iCs/>
                <w:color w:val="000000"/>
                <w:sz w:val="20"/>
                <w:szCs w:val="20"/>
              </w:rPr>
              <w:t>LuxS</w:t>
            </w:r>
            <w:proofErr w:type="spellEnd"/>
          </w:p>
        </w:tc>
        <w:tc>
          <w:tcPr>
            <w:tcW w:w="0" w:type="auto"/>
          </w:tcPr>
          <w:p w14:paraId="37D2E1E2" w14:textId="77777777" w:rsidR="00E10FA0" w:rsidRPr="00E76B39" w:rsidRDefault="00E10FA0" w:rsidP="001A1FAE">
            <w:pPr>
              <w:rPr>
                <w:rFonts w:ascii="Times New Roman" w:hAnsi="Times New Roman" w:cs="Times New Roman"/>
                <w:i/>
                <w:iCs/>
                <w:color w:val="000000"/>
                <w:sz w:val="20"/>
                <w:szCs w:val="20"/>
                <w:bdr w:val="none" w:sz="0" w:space="0" w:color="auto" w:frame="1"/>
              </w:rPr>
            </w:pPr>
            <w:r w:rsidRPr="00E76B39">
              <w:rPr>
                <w:rFonts w:ascii="Times New Roman" w:hAnsi="Times New Roman" w:cs="Times New Roman"/>
                <w:i/>
                <w:iCs/>
                <w:sz w:val="20"/>
                <w:szCs w:val="20"/>
              </w:rPr>
              <w:t>AI-</w:t>
            </w:r>
            <w:proofErr w:type="spellStart"/>
            <w:r w:rsidRPr="00E76B39">
              <w:rPr>
                <w:rFonts w:ascii="Times New Roman" w:hAnsi="Times New Roman" w:cs="Times New Roman"/>
                <w:i/>
                <w:iCs/>
                <w:sz w:val="20"/>
                <w:szCs w:val="20"/>
              </w:rPr>
              <w:t>LuxS</w:t>
            </w:r>
            <w:proofErr w:type="spellEnd"/>
            <w:r w:rsidRPr="00E76B39">
              <w:rPr>
                <w:rFonts w:ascii="Times New Roman" w:hAnsi="Times New Roman" w:cs="Times New Roman"/>
                <w:i/>
                <w:iCs/>
                <w:sz w:val="20"/>
                <w:szCs w:val="20"/>
              </w:rPr>
              <w:t xml:space="preserve"> </w:t>
            </w:r>
            <w:r w:rsidRPr="00E76B39">
              <w:rPr>
                <w:rFonts w:ascii="Times New Roman" w:hAnsi="Times New Roman" w:cs="Times New Roman"/>
                <w:sz w:val="20"/>
                <w:szCs w:val="20"/>
              </w:rPr>
              <w:t>encodes protein for AI-2 production</w:t>
            </w:r>
            <w:r w:rsidRPr="00E76B39">
              <w:rPr>
                <w:rFonts w:ascii="Times New Roman" w:hAnsi="Times New Roman" w:cs="Times New Roman"/>
                <w:sz w:val="20"/>
                <w:szCs w:val="20"/>
                <w:shd w:val="clear" w:color="auto" w:fill="FFFFFF"/>
              </w:rPr>
              <w:t xml:space="preserve">.  </w:t>
            </w:r>
            <w:r w:rsidRPr="00E76B39">
              <w:rPr>
                <w:rFonts w:ascii="Times New Roman" w:hAnsi="Times New Roman" w:cs="Times New Roman"/>
                <w:color w:val="000000"/>
                <w:sz w:val="20"/>
                <w:szCs w:val="20"/>
              </w:rPr>
              <w:t>AI-2 transport of quorum-sensing signal; mutations in this gene alters the transport of the quorum-sensing signal autoinducer 2 (AI-2) which affects expression of a large number of genes.</w:t>
            </w:r>
            <w:r w:rsidRPr="00E76B39">
              <w:rPr>
                <w:rFonts w:ascii="Times New Roman" w:hAnsi="Times New Roman" w:cs="Times New Roman"/>
              </w:rPr>
              <w:t xml:space="preserve"> </w:t>
            </w:r>
            <w:r w:rsidRPr="00E76B39">
              <w:rPr>
                <w:rFonts w:ascii="Times New Roman" w:hAnsi="Times New Roman" w:cs="Times New Roman"/>
                <w:color w:val="000000"/>
                <w:sz w:val="20"/>
                <w:szCs w:val="20"/>
              </w:rPr>
              <w:t xml:space="preserve">autoinducer-2 kinase catalyzes the phosphorylation of the C5-hydroxyl group in the linear form of 4,5-dihydroxy-2,3-pentanedione (DPD), the precursor of the type II bacterial quorum sensing molecule (AI-2). [6] </w:t>
            </w:r>
            <w:r w:rsidRPr="00E76B39">
              <w:rPr>
                <w:rFonts w:ascii="Times New Roman" w:hAnsi="Times New Roman" w:cs="Times New Roman"/>
                <w:color w:val="000000"/>
                <w:sz w:val="20"/>
                <w:szCs w:val="20"/>
                <w:shd w:val="clear" w:color="auto" w:fill="FFFFFF"/>
              </w:rPr>
              <w:t xml:space="preserve">Overall, both the quantity and architecture of biofilms were regulated by this distinct mechanism, </w:t>
            </w:r>
            <w:proofErr w:type="spellStart"/>
            <w:r w:rsidRPr="00E76B39">
              <w:rPr>
                <w:rFonts w:ascii="Times New Roman" w:hAnsi="Times New Roman" w:cs="Times New Roman"/>
                <w:i/>
                <w:iCs/>
                <w:color w:val="000000"/>
                <w:sz w:val="20"/>
                <w:szCs w:val="20"/>
                <w:bdr w:val="none" w:sz="0" w:space="0" w:color="auto" w:frame="1"/>
              </w:rPr>
              <w:t>lsrK</w:t>
            </w:r>
            <w:proofErr w:type="spellEnd"/>
            <w:r w:rsidRPr="00E76B39">
              <w:rPr>
                <w:rFonts w:ascii="Times New Roman" w:hAnsi="Times New Roman" w:cs="Times New Roman"/>
                <w:color w:val="000000"/>
                <w:sz w:val="20"/>
                <w:szCs w:val="20"/>
                <w:shd w:val="clear" w:color="auto" w:fill="FFFFFF"/>
              </w:rPr>
              <w:t> and </w:t>
            </w:r>
            <w:proofErr w:type="spellStart"/>
            <w:r w:rsidRPr="00E76B39">
              <w:rPr>
                <w:rFonts w:ascii="Times New Roman" w:hAnsi="Times New Roman" w:cs="Times New Roman"/>
                <w:i/>
                <w:iCs/>
                <w:color w:val="000000"/>
                <w:sz w:val="20"/>
                <w:szCs w:val="20"/>
                <w:bdr w:val="none" w:sz="0" w:space="0" w:color="auto" w:frame="1"/>
              </w:rPr>
              <w:t>lsrR</w:t>
            </w:r>
            <w:proofErr w:type="spellEnd"/>
            <w:r w:rsidRPr="00E76B39">
              <w:rPr>
                <w:rFonts w:ascii="Times New Roman" w:hAnsi="Times New Roman" w:cs="Times New Roman"/>
                <w:i/>
                <w:iCs/>
                <w:color w:val="000000"/>
                <w:sz w:val="20"/>
                <w:szCs w:val="20"/>
                <w:bdr w:val="none" w:sz="0" w:space="0" w:color="auto" w:frame="1"/>
              </w:rPr>
              <w:t>.</w:t>
            </w:r>
          </w:p>
          <w:p w14:paraId="30306A74" w14:textId="77777777" w:rsidR="00E10FA0" w:rsidRPr="00E76B39" w:rsidRDefault="00E10FA0" w:rsidP="001A1FAE">
            <w:pPr>
              <w:rPr>
                <w:rFonts w:ascii="Times New Roman" w:hAnsi="Times New Roman" w:cs="Times New Roman"/>
                <w:color w:val="000000"/>
                <w:sz w:val="20"/>
                <w:szCs w:val="20"/>
              </w:rPr>
            </w:pPr>
          </w:p>
        </w:tc>
      </w:tr>
      <w:tr w:rsidR="00875482" w14:paraId="059AF6CC" w14:textId="77777777" w:rsidTr="001A1FAE">
        <w:tc>
          <w:tcPr>
            <w:tcW w:w="0" w:type="auto"/>
          </w:tcPr>
          <w:p w14:paraId="18836268" w14:textId="77777777" w:rsidR="00875482" w:rsidRPr="004B3B6E" w:rsidRDefault="00875482" w:rsidP="00F55A58">
            <w:pPr>
              <w:jc w:val="center"/>
              <w:rPr>
                <w:i/>
                <w:iCs/>
                <w:sz w:val="20"/>
                <w:szCs w:val="20"/>
              </w:rPr>
            </w:pPr>
            <w:proofErr w:type="spellStart"/>
            <w:r w:rsidRPr="004B3B6E">
              <w:rPr>
                <w:b/>
                <w:bCs/>
                <w:i/>
                <w:iCs/>
                <w:color w:val="000000"/>
                <w:sz w:val="20"/>
                <w:szCs w:val="20"/>
              </w:rPr>
              <w:t>LsrABCD</w:t>
            </w:r>
            <w:proofErr w:type="spellEnd"/>
            <w:r w:rsidRPr="004B3B6E">
              <w:rPr>
                <w:b/>
                <w:bCs/>
                <w:i/>
                <w:iCs/>
                <w:color w:val="000000"/>
                <w:sz w:val="20"/>
                <w:szCs w:val="20"/>
              </w:rPr>
              <w:t xml:space="preserve">, </w:t>
            </w:r>
            <w:proofErr w:type="spellStart"/>
            <w:r w:rsidRPr="004B3B6E">
              <w:rPr>
                <w:b/>
                <w:bCs/>
                <w:i/>
                <w:iCs/>
                <w:color w:val="000000"/>
                <w:sz w:val="20"/>
                <w:szCs w:val="20"/>
              </w:rPr>
              <w:t>LsrR</w:t>
            </w:r>
            <w:proofErr w:type="spellEnd"/>
            <w:r w:rsidRPr="004B3B6E">
              <w:rPr>
                <w:b/>
                <w:bCs/>
                <w:i/>
                <w:iCs/>
                <w:color w:val="000000"/>
                <w:sz w:val="20"/>
                <w:szCs w:val="20"/>
              </w:rPr>
              <w:t xml:space="preserve">, </w:t>
            </w:r>
            <w:proofErr w:type="spellStart"/>
            <w:r w:rsidRPr="004B3B6E">
              <w:rPr>
                <w:b/>
                <w:bCs/>
                <w:i/>
                <w:iCs/>
                <w:color w:val="000000"/>
                <w:sz w:val="20"/>
                <w:szCs w:val="20"/>
              </w:rPr>
              <w:t>LsrK</w:t>
            </w:r>
            <w:proofErr w:type="spellEnd"/>
            <w:r w:rsidRPr="004B3B6E">
              <w:rPr>
                <w:b/>
                <w:bCs/>
                <w:i/>
                <w:iCs/>
                <w:color w:val="000000"/>
                <w:sz w:val="20"/>
                <w:szCs w:val="20"/>
              </w:rPr>
              <w:t xml:space="preserve">, </w:t>
            </w:r>
          </w:p>
        </w:tc>
        <w:tc>
          <w:tcPr>
            <w:tcW w:w="0" w:type="auto"/>
          </w:tcPr>
          <w:p w14:paraId="0362EFED" w14:textId="7FC86196" w:rsidR="00875482" w:rsidRPr="00E76B39" w:rsidRDefault="00875482" w:rsidP="001A1FAE">
            <w:pPr>
              <w:rPr>
                <w:rFonts w:ascii="Times New Roman" w:hAnsi="Times New Roman" w:cs="Times New Roman"/>
                <w:color w:val="000000"/>
                <w:sz w:val="20"/>
                <w:szCs w:val="20"/>
                <w:shd w:val="clear" w:color="auto" w:fill="FFFFFF"/>
              </w:rPr>
            </w:pPr>
            <w:r w:rsidRPr="00E76B39">
              <w:rPr>
                <w:rFonts w:ascii="Times New Roman" w:hAnsi="Times New Roman" w:cs="Times New Roman"/>
                <w:color w:val="000000"/>
                <w:sz w:val="20"/>
                <w:szCs w:val="20"/>
                <w:shd w:val="clear" w:color="auto" w:fill="FFFFFF"/>
              </w:rPr>
              <w:t xml:space="preserve">The regulatory network for the uptake of autoinducer 2 (AI-2) is comprised of a transporter complex, </w:t>
            </w:r>
            <w:proofErr w:type="spellStart"/>
            <w:r w:rsidRPr="00E76B39">
              <w:rPr>
                <w:rFonts w:ascii="Times New Roman" w:hAnsi="Times New Roman" w:cs="Times New Roman"/>
                <w:i/>
                <w:iCs/>
                <w:color w:val="000000"/>
                <w:sz w:val="20"/>
                <w:szCs w:val="20"/>
                <w:shd w:val="clear" w:color="auto" w:fill="FFFFFF"/>
              </w:rPr>
              <w:t>LsrABCD</w:t>
            </w:r>
            <w:proofErr w:type="spellEnd"/>
            <w:r w:rsidRPr="00E76B39">
              <w:rPr>
                <w:rFonts w:ascii="Times New Roman" w:hAnsi="Times New Roman" w:cs="Times New Roman"/>
                <w:color w:val="000000"/>
                <w:sz w:val="20"/>
                <w:szCs w:val="20"/>
                <w:shd w:val="clear" w:color="auto" w:fill="FFFFFF"/>
              </w:rPr>
              <w:t xml:space="preserve">; its repressor, </w:t>
            </w:r>
            <w:proofErr w:type="spellStart"/>
            <w:r w:rsidRPr="00E76B39">
              <w:rPr>
                <w:rFonts w:ascii="Times New Roman" w:hAnsi="Times New Roman" w:cs="Times New Roman"/>
                <w:i/>
                <w:iCs/>
                <w:color w:val="000000"/>
                <w:sz w:val="20"/>
                <w:szCs w:val="20"/>
                <w:shd w:val="clear" w:color="auto" w:fill="FFFFFF"/>
              </w:rPr>
              <w:t>LsrR</w:t>
            </w:r>
            <w:proofErr w:type="spellEnd"/>
            <w:r w:rsidRPr="00E76B39">
              <w:rPr>
                <w:rFonts w:ascii="Times New Roman" w:hAnsi="Times New Roman" w:cs="Times New Roman"/>
                <w:color w:val="000000"/>
                <w:sz w:val="20"/>
                <w:szCs w:val="20"/>
                <w:shd w:val="clear" w:color="auto" w:fill="FFFFFF"/>
              </w:rPr>
              <w:t xml:space="preserve">; and a cognate signal kinase, </w:t>
            </w:r>
            <w:proofErr w:type="spellStart"/>
            <w:r w:rsidRPr="00E76B39">
              <w:rPr>
                <w:rFonts w:ascii="Times New Roman" w:hAnsi="Times New Roman" w:cs="Times New Roman"/>
                <w:i/>
                <w:iCs/>
                <w:color w:val="000000"/>
                <w:sz w:val="20"/>
                <w:szCs w:val="20"/>
                <w:shd w:val="clear" w:color="auto" w:fill="FFFFFF"/>
              </w:rPr>
              <w:t>LsrK</w:t>
            </w:r>
            <w:proofErr w:type="spellEnd"/>
            <w:r w:rsidRPr="00E76B39">
              <w:rPr>
                <w:rFonts w:ascii="Times New Roman" w:hAnsi="Times New Roman" w:cs="Times New Roman"/>
                <w:color w:val="000000"/>
                <w:sz w:val="20"/>
                <w:szCs w:val="20"/>
                <w:shd w:val="clear" w:color="auto" w:fill="FFFFFF"/>
              </w:rPr>
              <w:t xml:space="preserve">. This network is an integral part of the AI-2 quorum-sensing (QS) system. Because </w:t>
            </w:r>
            <w:proofErr w:type="spellStart"/>
            <w:r w:rsidRPr="00E76B39">
              <w:rPr>
                <w:rFonts w:ascii="Times New Roman" w:hAnsi="Times New Roman" w:cs="Times New Roman"/>
                <w:i/>
                <w:iCs/>
                <w:color w:val="000000"/>
                <w:sz w:val="20"/>
                <w:szCs w:val="20"/>
                <w:shd w:val="clear" w:color="auto" w:fill="FFFFFF"/>
              </w:rPr>
              <w:t>LsrR</w:t>
            </w:r>
            <w:proofErr w:type="spellEnd"/>
            <w:r w:rsidRPr="00E76B39">
              <w:rPr>
                <w:rFonts w:ascii="Times New Roman" w:hAnsi="Times New Roman" w:cs="Times New Roman"/>
                <w:color w:val="000000"/>
                <w:sz w:val="20"/>
                <w:szCs w:val="20"/>
                <w:shd w:val="clear" w:color="auto" w:fill="FFFFFF"/>
              </w:rPr>
              <w:t xml:space="preserve"> and </w:t>
            </w:r>
            <w:proofErr w:type="spellStart"/>
            <w:r w:rsidRPr="00E76B39">
              <w:rPr>
                <w:rFonts w:ascii="Times New Roman" w:hAnsi="Times New Roman" w:cs="Times New Roman"/>
                <w:i/>
                <w:iCs/>
                <w:color w:val="000000"/>
                <w:sz w:val="20"/>
                <w:szCs w:val="20"/>
                <w:shd w:val="clear" w:color="auto" w:fill="FFFFFF"/>
              </w:rPr>
              <w:t>LsrK</w:t>
            </w:r>
            <w:proofErr w:type="spellEnd"/>
            <w:r w:rsidRPr="00E76B39">
              <w:rPr>
                <w:rFonts w:ascii="Times New Roman" w:hAnsi="Times New Roman" w:cs="Times New Roman"/>
                <w:color w:val="000000"/>
                <w:sz w:val="20"/>
                <w:szCs w:val="20"/>
                <w:shd w:val="clear" w:color="auto" w:fill="FFFFFF"/>
              </w:rPr>
              <w:t xml:space="preserve"> directly regulate AI-2 uptake.  </w:t>
            </w:r>
            <w:proofErr w:type="spellStart"/>
            <w:r w:rsidRPr="00E76B39">
              <w:rPr>
                <w:rFonts w:ascii="Times New Roman" w:hAnsi="Times New Roman" w:cs="Times New Roman"/>
                <w:i/>
                <w:iCs/>
                <w:color w:val="000000"/>
                <w:sz w:val="20"/>
                <w:szCs w:val="20"/>
                <w:shd w:val="clear" w:color="auto" w:fill="FFFFFF"/>
              </w:rPr>
              <w:t>LsrR</w:t>
            </w:r>
            <w:proofErr w:type="spellEnd"/>
            <w:r w:rsidRPr="00E76B39">
              <w:rPr>
                <w:rFonts w:ascii="Times New Roman" w:hAnsi="Times New Roman" w:cs="Times New Roman"/>
                <w:color w:val="000000"/>
                <w:sz w:val="20"/>
                <w:szCs w:val="20"/>
                <w:shd w:val="clear" w:color="auto" w:fill="FFFFFF"/>
              </w:rPr>
              <w:t xml:space="preserve"> serves as a repressor that is derepressed by the binding of phospho-AI-2 to the </w:t>
            </w:r>
            <w:proofErr w:type="spellStart"/>
            <w:r w:rsidRPr="00E76B39">
              <w:rPr>
                <w:rFonts w:ascii="Times New Roman" w:hAnsi="Times New Roman" w:cs="Times New Roman"/>
                <w:i/>
                <w:iCs/>
                <w:color w:val="000000"/>
                <w:sz w:val="20"/>
                <w:szCs w:val="20"/>
                <w:shd w:val="clear" w:color="auto" w:fill="FFFFFF"/>
              </w:rPr>
              <w:t>LsrR</w:t>
            </w:r>
            <w:proofErr w:type="spellEnd"/>
            <w:r w:rsidRPr="00E76B39">
              <w:rPr>
                <w:rFonts w:ascii="Times New Roman" w:hAnsi="Times New Roman" w:cs="Times New Roman"/>
                <w:color w:val="000000"/>
                <w:sz w:val="20"/>
                <w:szCs w:val="20"/>
                <w:shd w:val="clear" w:color="auto" w:fill="FFFFFF"/>
              </w:rPr>
              <w:t xml:space="preserve"> protein. The cytoplasmic kinase </w:t>
            </w:r>
            <w:proofErr w:type="spellStart"/>
            <w:r w:rsidRPr="00E76B39">
              <w:rPr>
                <w:rFonts w:ascii="Times New Roman" w:hAnsi="Times New Roman" w:cs="Times New Roman"/>
                <w:i/>
                <w:iCs/>
                <w:color w:val="000000"/>
                <w:sz w:val="20"/>
                <w:szCs w:val="20"/>
                <w:shd w:val="clear" w:color="auto" w:fill="FFFFFF"/>
              </w:rPr>
              <w:t>LsrK</w:t>
            </w:r>
            <w:proofErr w:type="spellEnd"/>
            <w:r w:rsidRPr="00E76B39">
              <w:rPr>
                <w:rFonts w:ascii="Times New Roman" w:hAnsi="Times New Roman" w:cs="Times New Roman"/>
                <w:color w:val="000000"/>
                <w:sz w:val="20"/>
                <w:szCs w:val="20"/>
                <w:shd w:val="clear" w:color="auto" w:fill="FFFFFF"/>
              </w:rPr>
              <w:t xml:space="preserve"> phosphorylates AI-2 into an activated molecule that is suggested to bind and derepress the </w:t>
            </w:r>
            <w:proofErr w:type="spellStart"/>
            <w:r w:rsidRPr="00E76B39">
              <w:rPr>
                <w:rFonts w:ascii="Times New Roman" w:hAnsi="Times New Roman" w:cs="Times New Roman"/>
                <w:i/>
                <w:iCs/>
                <w:color w:val="000000"/>
                <w:sz w:val="20"/>
                <w:szCs w:val="20"/>
                <w:bdr w:val="none" w:sz="0" w:space="0" w:color="auto" w:frame="1"/>
              </w:rPr>
              <w:t>lsr</w:t>
            </w:r>
            <w:proofErr w:type="spellEnd"/>
            <w:r w:rsidRPr="00E76B39">
              <w:rPr>
                <w:rFonts w:ascii="Times New Roman" w:hAnsi="Times New Roman" w:cs="Times New Roman"/>
                <w:color w:val="000000"/>
                <w:sz w:val="20"/>
                <w:szCs w:val="20"/>
                <w:shd w:val="clear" w:color="auto" w:fill="FFFFFF"/>
              </w:rPr>
              <w:t xml:space="preserve"> repressor </w:t>
            </w:r>
            <w:proofErr w:type="spellStart"/>
            <w:r w:rsidRPr="00E76B39">
              <w:rPr>
                <w:rFonts w:ascii="Times New Roman" w:hAnsi="Times New Roman" w:cs="Times New Roman"/>
                <w:i/>
                <w:iCs/>
                <w:color w:val="000000"/>
                <w:sz w:val="20"/>
                <w:szCs w:val="20"/>
                <w:shd w:val="clear" w:color="auto" w:fill="FFFFFF"/>
              </w:rPr>
              <w:t>LsrR</w:t>
            </w:r>
            <w:proofErr w:type="spellEnd"/>
            <w:r w:rsidRPr="00E76B39">
              <w:rPr>
                <w:rFonts w:ascii="Times New Roman" w:hAnsi="Times New Roman" w:cs="Times New Roman"/>
                <w:color w:val="000000"/>
                <w:sz w:val="20"/>
                <w:szCs w:val="20"/>
                <w:shd w:val="clear" w:color="auto" w:fill="FFFFFF"/>
              </w:rPr>
              <w:t>, thereby preventing it from repressing the promoter, and thus transcription of the operon of occur.</w:t>
            </w:r>
            <w:r w:rsidR="001A1FAE" w:rsidRPr="00E76B39">
              <w:rPr>
                <w:rFonts w:ascii="Times New Roman" w:hAnsi="Times New Roman" w:cs="Times New Roman"/>
                <w:color w:val="000000"/>
                <w:sz w:val="20"/>
                <w:szCs w:val="20"/>
                <w:shd w:val="clear" w:color="auto" w:fill="FFFFFF"/>
              </w:rPr>
              <w:t xml:space="preserve"> </w:t>
            </w:r>
            <w:proofErr w:type="spellStart"/>
            <w:r w:rsidRPr="00E76B39">
              <w:rPr>
                <w:rFonts w:ascii="Times New Roman" w:hAnsi="Times New Roman" w:cs="Times New Roman"/>
                <w:i/>
                <w:iCs/>
                <w:color w:val="000000"/>
                <w:sz w:val="20"/>
                <w:szCs w:val="20"/>
                <w:shd w:val="clear" w:color="auto" w:fill="FFFFFF"/>
              </w:rPr>
              <w:t>LsrABCD</w:t>
            </w:r>
            <w:proofErr w:type="spellEnd"/>
            <w:r w:rsidRPr="00E76B39">
              <w:rPr>
                <w:rFonts w:ascii="Times New Roman" w:hAnsi="Times New Roman" w:cs="Times New Roman"/>
                <w:color w:val="000000"/>
                <w:sz w:val="20"/>
                <w:szCs w:val="20"/>
                <w:shd w:val="clear" w:color="auto" w:fill="FFFFFF"/>
              </w:rPr>
              <w:t xml:space="preserve"> is involved in AI-2 import, and responsible for energy coupling to the transport system. This protein is also important for aerobic growth.</w:t>
            </w:r>
            <w:r w:rsidR="0056120C" w:rsidRPr="00E76B39">
              <w:rPr>
                <w:rFonts w:ascii="Times New Roman" w:hAnsi="Times New Roman" w:cs="Times New Roman"/>
                <w:color w:val="000000"/>
                <w:sz w:val="20"/>
                <w:szCs w:val="20"/>
                <w:shd w:val="clear" w:color="auto" w:fill="FFFFFF"/>
              </w:rPr>
              <w:t>[</w:t>
            </w:r>
            <w:r w:rsidRPr="00E76B39">
              <w:rPr>
                <w:rFonts w:ascii="Times New Roman" w:hAnsi="Times New Roman" w:cs="Times New Roman"/>
                <w:sz w:val="20"/>
                <w:szCs w:val="20"/>
                <w:shd w:val="clear" w:color="auto" w:fill="FFFFFF"/>
              </w:rPr>
              <w:t>7]</w:t>
            </w:r>
            <w:r w:rsidR="001A1FAE" w:rsidRPr="00E76B39">
              <w:rPr>
                <w:rFonts w:ascii="Times New Roman" w:hAnsi="Times New Roman" w:cs="Times New Roman"/>
                <w:sz w:val="20"/>
                <w:szCs w:val="20"/>
                <w:shd w:val="clear" w:color="auto" w:fill="FFFFFF"/>
              </w:rPr>
              <w:t xml:space="preserve">. </w:t>
            </w:r>
          </w:p>
        </w:tc>
      </w:tr>
    </w:tbl>
    <w:p w14:paraId="01552497" w14:textId="77777777" w:rsidR="00875482" w:rsidRDefault="00875482"/>
    <w:sectPr w:rsidR="00875482" w:rsidSect="00C2279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0C7"/>
    <w:rsid w:val="001408CC"/>
    <w:rsid w:val="001A1FAE"/>
    <w:rsid w:val="002103E6"/>
    <w:rsid w:val="002601E8"/>
    <w:rsid w:val="00346489"/>
    <w:rsid w:val="004A223D"/>
    <w:rsid w:val="0052182C"/>
    <w:rsid w:val="0056120C"/>
    <w:rsid w:val="005A70C7"/>
    <w:rsid w:val="00663AE2"/>
    <w:rsid w:val="00687BB5"/>
    <w:rsid w:val="007B6E98"/>
    <w:rsid w:val="007E7E99"/>
    <w:rsid w:val="00875482"/>
    <w:rsid w:val="00B737AF"/>
    <w:rsid w:val="00B758EC"/>
    <w:rsid w:val="00BC28A6"/>
    <w:rsid w:val="00C2279B"/>
    <w:rsid w:val="00C229BB"/>
    <w:rsid w:val="00D031EE"/>
    <w:rsid w:val="00DF2527"/>
    <w:rsid w:val="00E10FA0"/>
    <w:rsid w:val="00E15C67"/>
    <w:rsid w:val="00E76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71110"/>
  <w15:chartTrackingRefBased/>
  <w15:docId w15:val="{8D66A476-140D-4B0D-A5EB-1FC4475D2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2279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548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54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482"/>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D031EE"/>
    <w:rPr>
      <w:sz w:val="16"/>
      <w:szCs w:val="16"/>
    </w:rPr>
  </w:style>
  <w:style w:type="paragraph" w:styleId="CommentText">
    <w:name w:val="annotation text"/>
    <w:basedOn w:val="Normal"/>
    <w:link w:val="CommentTextChar"/>
    <w:uiPriority w:val="99"/>
    <w:semiHidden/>
    <w:unhideWhenUsed/>
    <w:rsid w:val="00D031EE"/>
    <w:pPr>
      <w:spacing w:line="240" w:lineRule="auto"/>
    </w:pPr>
    <w:rPr>
      <w:sz w:val="20"/>
      <w:szCs w:val="20"/>
    </w:rPr>
  </w:style>
  <w:style w:type="character" w:customStyle="1" w:styleId="CommentTextChar">
    <w:name w:val="Comment Text Char"/>
    <w:basedOn w:val="DefaultParagraphFont"/>
    <w:link w:val="CommentText"/>
    <w:uiPriority w:val="99"/>
    <w:semiHidden/>
    <w:rsid w:val="00D031E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031EE"/>
    <w:rPr>
      <w:b/>
      <w:bCs/>
    </w:rPr>
  </w:style>
  <w:style w:type="character" w:customStyle="1" w:styleId="CommentSubjectChar">
    <w:name w:val="Comment Subject Char"/>
    <w:basedOn w:val="CommentTextChar"/>
    <w:link w:val="CommentSubject"/>
    <w:uiPriority w:val="99"/>
    <w:semiHidden/>
    <w:rsid w:val="00D031EE"/>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JPL</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 Nitin K (352N-Affiliate)</dc:creator>
  <cp:keywords/>
  <dc:description/>
  <cp:lastModifiedBy>Venkateswaran, Kasthuri J (US 353N)</cp:lastModifiedBy>
  <cp:revision>13</cp:revision>
  <dcterms:created xsi:type="dcterms:W3CDTF">2019-10-31T05:05:00Z</dcterms:created>
  <dcterms:modified xsi:type="dcterms:W3CDTF">2022-07-29T16:55:00Z</dcterms:modified>
</cp:coreProperties>
</file>