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122" w:rsidRDefault="00B84122" w:rsidP="00B84122">
      <w:pPr>
        <w:pStyle w:val="a"/>
        <w:ind w:firstLineChars="0" w:firstLine="0"/>
        <w:rPr>
          <w:rFonts w:eastAsia="Times New Roman"/>
          <w:b/>
          <w:bCs/>
          <w:kern w:val="0"/>
          <w:sz w:val="20"/>
          <w:szCs w:val="20"/>
          <w:lang w:eastAsia="en-US"/>
        </w:rPr>
      </w:pPr>
      <w:r>
        <w:rPr>
          <w:rFonts w:eastAsia="Times New Roman"/>
          <w:b/>
          <w:noProof/>
          <w:kern w:val="0"/>
          <w:sz w:val="20"/>
          <w:szCs w:val="20"/>
          <w:lang w:eastAsia="en-US"/>
        </w:rPr>
        <w:drawing>
          <wp:inline distT="0" distB="0" distL="0" distR="0">
            <wp:extent cx="5076825" cy="4752975"/>
            <wp:effectExtent l="0" t="0" r="9525" b="9525"/>
            <wp:docPr id="1" name="Picture 1" descr="形状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形状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122" w:rsidRDefault="00B84122" w:rsidP="00B84122">
      <w:pP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</w:pPr>
      <w:r>
        <w:rPr>
          <w:rFonts w:ascii="Times New Roman" w:hAnsi="Times New Roman" w:cs="Times New Roman"/>
          <w:i/>
          <w:kern w:val="0"/>
          <w:sz w:val="16"/>
          <w:szCs w:val="16"/>
        </w:rPr>
        <w:t>Supplementary Figure S1</w:t>
      </w:r>
      <w:r>
        <w:rPr>
          <w:rFonts w:ascii="Times New Roman" w:eastAsia="DengXi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 xml:space="preserve">Flow chart of our cohort. MTX-IR, methotrexate inadequate response; MTX, methotrexate; RA, rheumatoid arthritis; DAS28-ESR, disease activity score in 28 joints using erythrocyte sedimentation rate; </w:t>
      </w:r>
      <w:proofErr w:type="spellStart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>csDMARDs</w:t>
      </w:r>
      <w:proofErr w:type="spellEnd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 xml:space="preserve">, conventional synthetic disease-modifying </w:t>
      </w:r>
      <w:proofErr w:type="spellStart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>antirheumatic</w:t>
      </w:r>
      <w:proofErr w:type="spellEnd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 xml:space="preserve"> drugs; </w:t>
      </w:r>
      <w:proofErr w:type="spellStart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>bDMARDs</w:t>
      </w:r>
      <w:proofErr w:type="spellEnd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 xml:space="preserve">, biological disease-modifying </w:t>
      </w:r>
      <w:proofErr w:type="spellStart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>antirheumatic</w:t>
      </w:r>
      <w:proofErr w:type="spellEnd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 xml:space="preserve"> drugs; </w:t>
      </w:r>
      <w:proofErr w:type="spellStart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>tsDMARDs</w:t>
      </w:r>
      <w:proofErr w:type="spellEnd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 xml:space="preserve">, targeted synthetic disease-modifying </w:t>
      </w:r>
      <w:proofErr w:type="spellStart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>antirheumatic</w:t>
      </w:r>
      <w:proofErr w:type="spellEnd"/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 xml:space="preserve"> drugs</w:t>
      </w:r>
    </w:p>
    <w:p w:rsidR="00AD1398" w:rsidRDefault="00AD1398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/>
    <w:p w:rsidR="00B84122" w:rsidRDefault="00B84122" w:rsidP="00B84122">
      <w:pPr>
        <w:rPr>
          <w:rFonts w:ascii="Times New Roman" w:hAnsi="Times New Roman" w:cs="Times New Roman"/>
          <w:i/>
          <w:kern w:val="0"/>
          <w:sz w:val="16"/>
          <w:szCs w:val="16"/>
        </w:rPr>
      </w:pPr>
      <w:r>
        <w:rPr>
          <w:rFonts w:ascii="Times New Roman" w:hAnsi="Times New Roman" w:cs="Times New Roman"/>
          <w:i/>
          <w:kern w:val="0"/>
          <w:sz w:val="16"/>
          <w:szCs w:val="16"/>
        </w:rPr>
        <w:lastRenderedPageBreak/>
        <w:t xml:space="preserve">Supplementary Table S1 </w:t>
      </w:r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>Results of the ROC curve to identify the cumulative dose for remission response at 12 months</w:t>
      </w:r>
    </w:p>
    <w:tbl>
      <w:tblPr>
        <w:tblW w:w="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418"/>
        <w:gridCol w:w="1205"/>
        <w:gridCol w:w="1205"/>
      </w:tblGrid>
      <w:tr w:rsidR="00B84122" w:rsidTr="00B84122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1"/>
                <w:kern w:val="0"/>
                <w:sz w:val="20"/>
                <w:szCs w:val="20"/>
              </w:rPr>
              <w:t xml:space="preserve">Cumulative dose </w:t>
            </w:r>
            <w:r>
              <w:rPr>
                <w:rFonts w:ascii="Times New Roman" w:hAnsi="Times New Roman" w:cs="Times New Roman"/>
                <w:b/>
                <w:bCs/>
                <w:snapToGrid w:val="0"/>
                <w:spacing w:val="-1"/>
                <w:kern w:val="0"/>
                <w:sz w:val="20"/>
                <w:szCs w:val="20"/>
              </w:rPr>
              <w:t>(mg)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1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1"/>
                <w:kern w:val="0"/>
                <w:sz w:val="20"/>
                <w:szCs w:val="20"/>
              </w:rPr>
              <w:t>Youden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1"/>
                <w:kern w:val="0"/>
                <w:sz w:val="20"/>
                <w:szCs w:val="20"/>
              </w:rPr>
              <w:t xml:space="preserve"> index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1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1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1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1"/>
                <w:kern w:val="0"/>
                <w:sz w:val="20"/>
                <w:szCs w:val="20"/>
              </w:rPr>
              <w:t>Specificity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12-month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0.149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0.149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1137.5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0.213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0.511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0.532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0.553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0.596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0.787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0.369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0.56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0.809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0.851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0.851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0.872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0.957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0. 957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0. 957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-0.021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0.979</w:t>
            </w:r>
          </w:p>
        </w:tc>
      </w:tr>
      <w:tr w:rsidR="00B84122" w:rsidTr="00B84122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122" w:rsidRDefault="00B8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B84122" w:rsidRDefault="00B84122" w:rsidP="00B84122">
      <w:pPr>
        <w:pStyle w:val="a1"/>
        <w:ind w:firstLineChars="0" w:firstLine="0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B84122" w:rsidRDefault="00B84122" w:rsidP="00B84122">
      <w:pPr>
        <w:pStyle w:val="a1"/>
        <w:ind w:firstLineChars="0" w:firstLine="0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B84122" w:rsidRDefault="00B84122" w:rsidP="00B84122">
      <w:pPr>
        <w:pStyle w:val="a1"/>
        <w:ind w:firstLineChars="0" w:firstLine="0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B84122" w:rsidRDefault="00B84122" w:rsidP="00B84122">
      <w:pPr>
        <w:pStyle w:val="a1"/>
        <w:ind w:firstLineChars="0" w:firstLine="0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B84122" w:rsidRDefault="00B84122" w:rsidP="00B84122">
      <w:pPr>
        <w:pStyle w:val="a1"/>
        <w:ind w:firstLineChars="0" w:firstLine="0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B84122" w:rsidRDefault="00B84122" w:rsidP="00B84122">
      <w:pPr>
        <w:rPr>
          <w:rFonts w:ascii="Times New Roman" w:hAnsi="Times New Roman" w:cs="Times New Roman"/>
          <w:snapToGrid w:val="0"/>
          <w:spacing w:val="-1"/>
          <w:kern w:val="0"/>
          <w:sz w:val="16"/>
          <w:szCs w:val="16"/>
        </w:rPr>
      </w:pPr>
      <w:r>
        <w:rPr>
          <w:rFonts w:ascii="Times New Roman" w:hAnsi="Times New Roman" w:cs="Times New Roman"/>
          <w:noProof/>
          <w:spacing w:val="-1"/>
          <w:kern w:val="0"/>
          <w:sz w:val="16"/>
          <w:szCs w:val="16"/>
          <w:lang w:eastAsia="en-US"/>
        </w:rPr>
        <w:lastRenderedPageBreak/>
        <w:drawing>
          <wp:inline distT="0" distB="0" distL="0" distR="0">
            <wp:extent cx="3743325" cy="3476625"/>
            <wp:effectExtent l="0" t="0" r="9525" b="9525"/>
            <wp:docPr id="2" name="Picture 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122" w:rsidRDefault="00B84122" w:rsidP="00B84122">
      <w:pPr>
        <w:rPr>
          <w:rFonts w:ascii="Times New Roman" w:hAnsi="Times New Roman" w:cs="Times New Roman"/>
          <w:snapToGrid w:val="0"/>
          <w:spacing w:val="-1"/>
          <w:kern w:val="0"/>
          <w:sz w:val="16"/>
          <w:szCs w:val="16"/>
        </w:rPr>
      </w:pPr>
      <w:r>
        <w:rPr>
          <w:rFonts w:ascii="Times New Roman" w:hAnsi="Times New Roman" w:cs="Times New Roman"/>
          <w:i/>
          <w:kern w:val="0"/>
          <w:sz w:val="16"/>
          <w:szCs w:val="16"/>
        </w:rPr>
        <w:t>Supplementary Figure S2</w:t>
      </w:r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 xml:space="preserve"> ROC curve for remission response at 12 months.</w:t>
      </w:r>
      <w:r>
        <w:rPr>
          <w:rFonts w:ascii="Times New Roman" w:eastAsia="Times New Roman" w:hAnsi="Times New Roman" w:cs="Times New Roman"/>
          <w:snapToGrid w:val="0"/>
          <w:kern w:val="0"/>
          <w:sz w:val="16"/>
          <w:szCs w:val="16"/>
        </w:rPr>
        <w:t xml:space="preserve"> ROC, receiver operating characteristics; AUC, area under the curve</w:t>
      </w:r>
    </w:p>
    <w:p w:rsidR="00B84122" w:rsidRDefault="00B84122"/>
    <w:p w:rsidR="00B84122" w:rsidRDefault="00B84122"/>
    <w:p w:rsidR="00B84122" w:rsidRDefault="00B84122" w:rsidP="00B84122">
      <w:pPr>
        <w:adjustRightInd w:val="0"/>
        <w:snapToGrid w:val="0"/>
        <w:spacing w:line="360" w:lineRule="auto"/>
        <w:rPr>
          <w:rFonts w:ascii="Times New Roman" w:eastAsia="Times New Roman" w:hAnsi="Times New Roman" w:cs="Times New Roman"/>
          <w:snapToGrid w:val="0"/>
          <w:spacing w:val="2"/>
          <w:kern w:val="0"/>
          <w:sz w:val="16"/>
          <w:szCs w:val="16"/>
        </w:rPr>
      </w:pPr>
    </w:p>
    <w:p w:rsidR="00B84122" w:rsidRDefault="00B84122" w:rsidP="00B84122">
      <w:pPr>
        <w:rPr>
          <w:noProof/>
        </w:rPr>
      </w:pPr>
      <w:r>
        <w:rPr>
          <w:noProof/>
          <w:lang w:eastAsia="en-US"/>
        </w:rPr>
        <w:drawing>
          <wp:inline distT="0" distB="0" distL="0" distR="0">
            <wp:extent cx="5219700" cy="2914650"/>
            <wp:effectExtent l="0" t="0" r="0" b="0"/>
            <wp:docPr id="3" name="Picture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122" w:rsidRDefault="00B84122" w:rsidP="00B84122">
      <w:pPr>
        <w:rPr>
          <w:rFonts w:ascii="Times New Roman" w:eastAsia="Times New Roman" w:hAnsi="Times New Roman" w:cs="Times New Roman"/>
          <w:snapToGrid w:val="0"/>
          <w:spacing w:val="2"/>
          <w:kern w:val="0"/>
          <w:sz w:val="14"/>
          <w:szCs w:val="14"/>
        </w:rPr>
      </w:pPr>
      <w:r>
        <w:rPr>
          <w:rFonts w:ascii="Times New Roman" w:hAnsi="Times New Roman" w:cs="Times New Roman"/>
          <w:i/>
          <w:kern w:val="0"/>
          <w:sz w:val="16"/>
          <w:szCs w:val="16"/>
        </w:rPr>
        <w:t xml:space="preserve">Supplementary Figure S3 </w:t>
      </w:r>
      <w:r>
        <w:rPr>
          <w:rFonts w:ascii="Times New Roman" w:eastAsia="Times New Roman" w:hAnsi="Times New Roman" w:cs="Times New Roman"/>
          <w:snapToGrid w:val="0"/>
          <w:spacing w:val="-1"/>
          <w:kern w:val="0"/>
          <w:sz w:val="16"/>
          <w:szCs w:val="16"/>
        </w:rPr>
        <w:t>Incremental cost-effectiveness plane of two groups</w:t>
      </w:r>
      <w:r>
        <w:rPr>
          <w:rFonts w:ascii="SimSun" w:eastAsia="SimSun" w:hAnsi="SimSun" w:cs="SimSun" w:hint="eastAsia"/>
          <w:snapToGrid w:val="0"/>
          <w:spacing w:val="-1"/>
          <w:kern w:val="0"/>
          <w:sz w:val="16"/>
          <w:szCs w:val="16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pacing w:val="2"/>
          <w:kern w:val="0"/>
          <w:sz w:val="14"/>
          <w:szCs w:val="14"/>
        </w:rPr>
        <w:t>QALY, quality-adjusted life year</w:t>
      </w:r>
    </w:p>
    <w:p w:rsidR="00B84122" w:rsidRDefault="00B84122" w:rsidP="00B84122">
      <w:pPr>
        <w:pStyle w:val="a"/>
        <w:ind w:firstLineChars="0" w:firstLine="0"/>
      </w:pPr>
    </w:p>
    <w:p w:rsidR="00B84122" w:rsidRDefault="00B84122">
      <w:bookmarkStart w:id="0" w:name="_GoBack"/>
      <w:bookmarkEnd w:id="0"/>
    </w:p>
    <w:sectPr w:rsidR="00B84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22"/>
    <w:rsid w:val="00AD1398"/>
    <w:rsid w:val="00B8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4D0AA"/>
  <w15:chartTrackingRefBased/>
  <w15:docId w15:val="{04C7D29B-741D-4E7B-839B-4F0F2AB2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122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论文正文"/>
    <w:basedOn w:val="Normal"/>
    <w:qFormat/>
    <w:rsid w:val="00B84122"/>
    <w:pPr>
      <w:spacing w:line="300" w:lineRule="auto"/>
      <w:ind w:firstLineChars="200" w:firstLine="480"/>
    </w:pPr>
    <w:rPr>
      <w:rFonts w:ascii="Times New Roman" w:eastAsia="SimSun" w:hAnsi="Times New Roman" w:cs="Times New Roman"/>
      <w:sz w:val="24"/>
    </w:rPr>
  </w:style>
  <w:style w:type="character" w:customStyle="1" w:styleId="a0">
    <w:name w:val="摘要内容 字符"/>
    <w:link w:val="a1"/>
    <w:qFormat/>
    <w:locked/>
    <w:rsid w:val="00B84122"/>
    <w:rPr>
      <w:kern w:val="2"/>
      <w:sz w:val="28"/>
      <w:szCs w:val="24"/>
    </w:rPr>
  </w:style>
  <w:style w:type="paragraph" w:customStyle="1" w:styleId="a1">
    <w:name w:val="摘要内容"/>
    <w:basedOn w:val="Normal"/>
    <w:link w:val="a0"/>
    <w:qFormat/>
    <w:rsid w:val="00B84122"/>
    <w:pPr>
      <w:spacing w:line="300" w:lineRule="auto"/>
      <w:ind w:firstLineChars="200" w:firstLine="560"/>
    </w:pPr>
    <w:rPr>
      <w:rFonts w:eastAsiaTheme="minorHAns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2022-08-10T04:42:00Z</dcterms:created>
  <dcterms:modified xsi:type="dcterms:W3CDTF">2022-08-10T04:45:00Z</dcterms:modified>
</cp:coreProperties>
</file>