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70C" w:rsidRPr="003F0DDD" w:rsidRDefault="00B6570C" w:rsidP="00B6570C">
      <w:pPr>
        <w:autoSpaceDE w:val="0"/>
        <w:autoSpaceDN w:val="0"/>
        <w:adjustRightInd w:val="0"/>
        <w:spacing w:after="0" w:line="240" w:lineRule="auto"/>
        <w:rPr>
          <w:b/>
          <w:sz w:val="28"/>
          <w:szCs w:val="28"/>
          <w:lang w:val="en-US"/>
        </w:rPr>
      </w:pPr>
      <w:r w:rsidRPr="003F0DDD">
        <w:rPr>
          <w:b/>
          <w:sz w:val="28"/>
          <w:szCs w:val="28"/>
          <w:lang w:val="en-US"/>
        </w:rPr>
        <w:t>Appendix 1: Health outcome indicators</w:t>
      </w:r>
    </w:p>
    <w:p w:rsidR="00B6570C" w:rsidRPr="003F0DDD" w:rsidRDefault="00B6570C" w:rsidP="00B6570C">
      <w:pPr>
        <w:autoSpaceDE w:val="0"/>
        <w:autoSpaceDN w:val="0"/>
        <w:adjustRightInd w:val="0"/>
        <w:spacing w:after="0" w:line="240" w:lineRule="auto"/>
        <w:rPr>
          <w:sz w:val="20"/>
          <w:szCs w:val="20"/>
          <w:lang w:val="en-US"/>
        </w:rPr>
      </w:pPr>
    </w:p>
    <w:tbl>
      <w:tblPr>
        <w:tblStyle w:val="TableGridLight"/>
        <w:tblW w:w="1601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123"/>
        <w:gridCol w:w="6967"/>
        <w:gridCol w:w="5245"/>
      </w:tblGrid>
      <w:tr w:rsidR="00B6570C" w:rsidRPr="003F0DDD" w:rsidTr="00675BC1">
        <w:trPr>
          <w:trHeight w:val="416"/>
        </w:trPr>
        <w:tc>
          <w:tcPr>
            <w:tcW w:w="2684" w:type="dxa"/>
            <w:shd w:val="clear" w:color="auto" w:fill="FFFFFF" w:themeFill="background1"/>
          </w:tcPr>
          <w:p w:rsidR="00B6570C" w:rsidRPr="00585F3D" w:rsidRDefault="00B6570C" w:rsidP="00675BC1">
            <w:pPr>
              <w:spacing w:line="240" w:lineRule="auto"/>
              <w:rPr>
                <w:b/>
                <w:color w:val="000000" w:themeColor="text1"/>
                <w:sz w:val="20"/>
                <w:szCs w:val="20"/>
                <w:lang w:val="en-US"/>
              </w:rPr>
            </w:pPr>
            <w:r w:rsidRPr="00585F3D">
              <w:rPr>
                <w:b/>
                <w:color w:val="000000" w:themeColor="text1"/>
                <w:sz w:val="20"/>
                <w:szCs w:val="20"/>
                <w:lang w:val="en-US"/>
              </w:rPr>
              <w:t>Patient population</w:t>
            </w:r>
          </w:p>
        </w:tc>
        <w:tc>
          <w:tcPr>
            <w:tcW w:w="1123" w:type="dxa"/>
            <w:shd w:val="clear" w:color="auto" w:fill="FFFFFF" w:themeFill="background1"/>
          </w:tcPr>
          <w:p w:rsidR="00B6570C" w:rsidRPr="00585F3D" w:rsidRDefault="00B6570C" w:rsidP="00675BC1">
            <w:pPr>
              <w:spacing w:line="240" w:lineRule="auto"/>
              <w:rPr>
                <w:b/>
                <w:color w:val="000000" w:themeColor="text1"/>
                <w:sz w:val="20"/>
                <w:szCs w:val="20"/>
                <w:lang w:val="en-US"/>
              </w:rPr>
            </w:pPr>
            <w:r w:rsidRPr="00585F3D">
              <w:rPr>
                <w:b/>
                <w:color w:val="000000" w:themeColor="text1"/>
                <w:sz w:val="20"/>
                <w:szCs w:val="20"/>
                <w:lang w:val="en-US"/>
              </w:rPr>
              <w:t>KPI</w:t>
            </w:r>
          </w:p>
        </w:tc>
        <w:tc>
          <w:tcPr>
            <w:tcW w:w="6967" w:type="dxa"/>
            <w:shd w:val="clear" w:color="auto" w:fill="FFFFFF" w:themeFill="background1"/>
          </w:tcPr>
          <w:p w:rsidR="00B6570C" w:rsidRPr="00585F3D" w:rsidRDefault="00B6570C" w:rsidP="00675BC1">
            <w:pPr>
              <w:spacing w:line="240" w:lineRule="auto"/>
              <w:rPr>
                <w:b/>
                <w:color w:val="000000" w:themeColor="text1"/>
                <w:sz w:val="20"/>
                <w:szCs w:val="20"/>
                <w:lang w:val="en-US"/>
              </w:rPr>
            </w:pPr>
            <w:r w:rsidRPr="00585F3D">
              <w:rPr>
                <w:b/>
                <w:color w:val="000000" w:themeColor="text1"/>
                <w:sz w:val="20"/>
                <w:szCs w:val="20"/>
                <w:lang w:val="en-US"/>
              </w:rPr>
              <w:t>Description</w:t>
            </w:r>
          </w:p>
        </w:tc>
        <w:tc>
          <w:tcPr>
            <w:tcW w:w="5245" w:type="dxa"/>
            <w:shd w:val="clear" w:color="auto" w:fill="FFFFFF" w:themeFill="background1"/>
          </w:tcPr>
          <w:p w:rsidR="00B6570C" w:rsidRPr="00585F3D" w:rsidRDefault="00B6570C" w:rsidP="00675BC1">
            <w:pPr>
              <w:spacing w:line="240" w:lineRule="auto"/>
              <w:rPr>
                <w:b/>
                <w:color w:val="000000" w:themeColor="text1"/>
                <w:sz w:val="20"/>
                <w:szCs w:val="20"/>
                <w:lang w:val="en-US"/>
              </w:rPr>
            </w:pPr>
            <w:r w:rsidRPr="00585F3D">
              <w:rPr>
                <w:b/>
                <w:color w:val="000000" w:themeColor="text1"/>
                <w:sz w:val="20"/>
                <w:szCs w:val="20"/>
                <w:lang w:val="en-US"/>
              </w:rPr>
              <w:t>Success measure</w:t>
            </w:r>
          </w:p>
        </w:tc>
      </w:tr>
      <w:tr w:rsidR="00B6570C" w:rsidRPr="00AA2531" w:rsidTr="00675BC1">
        <w:tc>
          <w:tcPr>
            <w:tcW w:w="2684" w:type="dxa"/>
            <w:vMerge w:val="restart"/>
          </w:tcPr>
          <w:p w:rsidR="00B6570C" w:rsidRPr="003F0DDD" w:rsidRDefault="00B6570C" w:rsidP="00675BC1">
            <w:pPr>
              <w:spacing w:line="240" w:lineRule="auto"/>
              <w:rPr>
                <w:sz w:val="18"/>
                <w:szCs w:val="18"/>
                <w:lang w:val="en-US"/>
              </w:rPr>
            </w:pPr>
            <w:r w:rsidRPr="003F0DDD">
              <w:rPr>
                <w:sz w:val="18"/>
                <w:szCs w:val="18"/>
                <w:lang w:val="en-US"/>
              </w:rPr>
              <w:t>Bariatric</w:t>
            </w:r>
          </w:p>
        </w:tc>
        <w:tc>
          <w:tcPr>
            <w:tcW w:w="1123" w:type="dxa"/>
          </w:tcPr>
          <w:p w:rsidR="00B6570C" w:rsidRPr="003F0DDD" w:rsidRDefault="00B6570C" w:rsidP="00675BC1">
            <w:pPr>
              <w:spacing w:line="240" w:lineRule="auto"/>
              <w:rPr>
                <w:sz w:val="18"/>
                <w:szCs w:val="18"/>
                <w:lang w:val="en-US"/>
              </w:rPr>
            </w:pPr>
            <w:r w:rsidRPr="003F0DDD">
              <w:rPr>
                <w:sz w:val="18"/>
                <w:szCs w:val="18"/>
                <w:lang w:val="en-US"/>
              </w:rPr>
              <w:t>Re</w:t>
            </w:r>
            <w:r>
              <w:rPr>
                <w:sz w:val="18"/>
                <w:szCs w:val="18"/>
                <w:lang w:val="en-US"/>
              </w:rPr>
              <w:t>-</w:t>
            </w:r>
            <w:r w:rsidRPr="003F0DDD">
              <w:rPr>
                <w:sz w:val="18"/>
                <w:szCs w:val="18"/>
                <w:lang w:val="en-US"/>
              </w:rPr>
              <w:t>operation</w:t>
            </w:r>
          </w:p>
        </w:tc>
        <w:tc>
          <w:tcPr>
            <w:tcW w:w="6967" w:type="dxa"/>
          </w:tcPr>
          <w:p w:rsidR="00B6570C" w:rsidRPr="003F0DDD" w:rsidRDefault="00B6570C" w:rsidP="00675BC1">
            <w:pPr>
              <w:spacing w:line="240" w:lineRule="auto"/>
              <w:rPr>
                <w:sz w:val="18"/>
                <w:szCs w:val="18"/>
                <w:lang w:val="en-US"/>
              </w:rPr>
            </w:pPr>
            <w:r w:rsidRPr="003F0DDD">
              <w:rPr>
                <w:sz w:val="18"/>
                <w:szCs w:val="18"/>
                <w:lang w:val="en-US"/>
              </w:rPr>
              <w:t xml:space="preserve">The following </w:t>
            </w:r>
            <w:r>
              <w:rPr>
                <w:sz w:val="18"/>
                <w:szCs w:val="18"/>
                <w:lang w:val="en-US"/>
              </w:rPr>
              <w:t>surgeries</w:t>
            </w:r>
            <w:r w:rsidRPr="003F0DDD">
              <w:rPr>
                <w:sz w:val="18"/>
                <w:szCs w:val="18"/>
                <w:lang w:val="en-US"/>
              </w:rPr>
              <w:t xml:space="preserve"> within 30 days of the primary </w:t>
            </w:r>
            <w:r>
              <w:rPr>
                <w:sz w:val="18"/>
                <w:szCs w:val="18"/>
                <w:lang w:val="en-US"/>
              </w:rPr>
              <w:t>surgery</w:t>
            </w:r>
            <w:r w:rsidRPr="003F0DDD">
              <w:rPr>
                <w:sz w:val="18"/>
                <w:szCs w:val="18"/>
                <w:lang w:val="en-US"/>
              </w:rPr>
              <w:t xml:space="preserve"> were taken into account:</w:t>
            </w:r>
          </w:p>
          <w:p w:rsidR="00B6570C" w:rsidRPr="003F0DDD" w:rsidRDefault="00B6570C" w:rsidP="00B6570C">
            <w:pPr>
              <w:pStyle w:val="ListParagraph"/>
              <w:numPr>
                <w:ilvl w:val="0"/>
                <w:numId w:val="3"/>
              </w:numPr>
              <w:spacing w:line="240" w:lineRule="auto"/>
              <w:rPr>
                <w:sz w:val="18"/>
                <w:szCs w:val="18"/>
                <w:lang w:val="en-US"/>
              </w:rPr>
            </w:pPr>
            <w:r w:rsidRPr="003F0DDD">
              <w:rPr>
                <w:rStyle w:val="y2iqfc"/>
                <w:color w:val="202124"/>
                <w:sz w:val="18"/>
                <w:szCs w:val="18"/>
                <w:lang w:val="en-US"/>
              </w:rPr>
              <w:t>Operative treatment for</w:t>
            </w:r>
            <w:r w:rsidRPr="003F0DDD">
              <w:rPr>
                <w:sz w:val="18"/>
                <w:szCs w:val="18"/>
                <w:lang w:val="en-US"/>
              </w:rPr>
              <w:t xml:space="preserve"> esophageal perforation</w:t>
            </w:r>
          </w:p>
          <w:p w:rsidR="00B6570C" w:rsidRPr="003F0DDD" w:rsidRDefault="00B6570C" w:rsidP="00B6570C">
            <w:pPr>
              <w:pStyle w:val="ListParagraph"/>
              <w:numPr>
                <w:ilvl w:val="0"/>
                <w:numId w:val="3"/>
              </w:numPr>
              <w:spacing w:line="240" w:lineRule="auto"/>
              <w:rPr>
                <w:rStyle w:val="y2iqfc"/>
                <w:color w:val="202124"/>
                <w:sz w:val="18"/>
                <w:szCs w:val="18"/>
                <w:lang w:val="en-US"/>
              </w:rPr>
            </w:pPr>
            <w:r w:rsidRPr="003F0DDD">
              <w:rPr>
                <w:rStyle w:val="y2iqfc"/>
                <w:color w:val="202124"/>
                <w:sz w:val="18"/>
                <w:szCs w:val="18"/>
                <w:lang w:val="en-US"/>
              </w:rPr>
              <w:t>Endoscopic extension gastric bypass</w:t>
            </w:r>
          </w:p>
          <w:p w:rsidR="00B6570C" w:rsidRPr="003F0DDD" w:rsidRDefault="00B6570C" w:rsidP="00B6570C">
            <w:pPr>
              <w:pStyle w:val="ListParagraph"/>
              <w:numPr>
                <w:ilvl w:val="0"/>
                <w:numId w:val="2"/>
              </w:numPr>
              <w:spacing w:line="240" w:lineRule="auto"/>
              <w:rPr>
                <w:sz w:val="18"/>
                <w:szCs w:val="18"/>
                <w:lang w:val="en-US"/>
              </w:rPr>
            </w:pPr>
            <w:r w:rsidRPr="003F0DDD">
              <w:rPr>
                <w:sz w:val="18"/>
                <w:szCs w:val="18"/>
                <w:lang w:val="en-US"/>
              </w:rPr>
              <w:t>Endoscopic sleeve and Pouch bypass</w:t>
            </w:r>
          </w:p>
          <w:p w:rsidR="00B6570C" w:rsidRPr="003F0DDD" w:rsidRDefault="00B6570C" w:rsidP="00B6570C">
            <w:pPr>
              <w:pStyle w:val="ListParagraph"/>
              <w:numPr>
                <w:ilvl w:val="0"/>
                <w:numId w:val="2"/>
              </w:numPr>
              <w:spacing w:line="240" w:lineRule="auto"/>
              <w:rPr>
                <w:sz w:val="18"/>
                <w:szCs w:val="18"/>
                <w:lang w:val="en-US"/>
              </w:rPr>
            </w:pPr>
            <w:r w:rsidRPr="003F0DDD">
              <w:rPr>
                <w:sz w:val="18"/>
                <w:szCs w:val="18"/>
                <w:lang w:val="en-US"/>
              </w:rPr>
              <w:t>Endoscopic gastronomy</w:t>
            </w:r>
          </w:p>
          <w:p w:rsidR="00B6570C" w:rsidRPr="003F0DDD" w:rsidRDefault="00B6570C" w:rsidP="00B6570C">
            <w:pPr>
              <w:pStyle w:val="ListParagraph"/>
              <w:numPr>
                <w:ilvl w:val="0"/>
                <w:numId w:val="2"/>
              </w:numPr>
              <w:spacing w:line="240" w:lineRule="auto"/>
              <w:rPr>
                <w:sz w:val="18"/>
                <w:szCs w:val="18"/>
                <w:lang w:val="en-US"/>
              </w:rPr>
            </w:pPr>
            <w:r w:rsidRPr="003F0DDD">
              <w:rPr>
                <w:sz w:val="18"/>
                <w:szCs w:val="18"/>
                <w:lang w:val="en-US"/>
              </w:rPr>
              <w:t>Overstitching stomach perforation</w:t>
            </w:r>
            <w:r w:rsidRPr="003F0DDD">
              <w:rPr>
                <w:rFonts w:cs="Arial"/>
                <w:color w:val="202124"/>
                <w:sz w:val="18"/>
                <w:szCs w:val="18"/>
                <w:shd w:val="clear" w:color="auto" w:fill="FFFFFF"/>
                <w:lang w:val="en-US"/>
              </w:rPr>
              <w:t xml:space="preserve"> (open/ endoscopic)</w:t>
            </w:r>
          </w:p>
          <w:p w:rsidR="00B6570C" w:rsidRPr="003F0DDD" w:rsidRDefault="00B6570C" w:rsidP="00B6570C">
            <w:pPr>
              <w:pStyle w:val="ListParagraph"/>
              <w:numPr>
                <w:ilvl w:val="0"/>
                <w:numId w:val="2"/>
              </w:numPr>
              <w:spacing w:line="240" w:lineRule="auto"/>
              <w:rPr>
                <w:sz w:val="18"/>
                <w:szCs w:val="18"/>
                <w:lang w:val="en-US"/>
              </w:rPr>
            </w:pPr>
            <w:r w:rsidRPr="003F0DDD">
              <w:rPr>
                <w:sz w:val="18"/>
                <w:szCs w:val="18"/>
                <w:lang w:val="en-US"/>
              </w:rPr>
              <w:t>Endoscopic small intestine resection</w:t>
            </w:r>
          </w:p>
          <w:p w:rsidR="00B6570C" w:rsidRPr="003F0DDD" w:rsidRDefault="00B6570C" w:rsidP="00B6570C">
            <w:pPr>
              <w:pStyle w:val="ListParagraph"/>
              <w:numPr>
                <w:ilvl w:val="0"/>
                <w:numId w:val="2"/>
              </w:numPr>
              <w:spacing w:line="240" w:lineRule="auto"/>
              <w:rPr>
                <w:sz w:val="18"/>
                <w:szCs w:val="18"/>
                <w:lang w:val="en-US"/>
              </w:rPr>
            </w:pPr>
            <w:r w:rsidRPr="003F0DDD">
              <w:rPr>
                <w:sz w:val="18"/>
                <w:szCs w:val="18"/>
                <w:lang w:val="en-US"/>
              </w:rPr>
              <w:t>Endoscopic intestinal anastomosis</w:t>
            </w:r>
          </w:p>
          <w:p w:rsidR="00B6570C" w:rsidRPr="003F0DDD" w:rsidRDefault="00B6570C" w:rsidP="00B6570C">
            <w:pPr>
              <w:pStyle w:val="ListParagraph"/>
              <w:numPr>
                <w:ilvl w:val="0"/>
                <w:numId w:val="2"/>
              </w:numPr>
              <w:spacing w:line="240" w:lineRule="auto"/>
              <w:rPr>
                <w:sz w:val="18"/>
                <w:szCs w:val="18"/>
                <w:lang w:val="en-US"/>
              </w:rPr>
            </w:pPr>
            <w:r w:rsidRPr="003F0DDD">
              <w:rPr>
                <w:sz w:val="18"/>
                <w:szCs w:val="18"/>
                <w:lang w:val="en-US"/>
              </w:rPr>
              <w:t>Overstitching intestinal perforation (open / laparoscopic)</w:t>
            </w:r>
          </w:p>
          <w:p w:rsidR="00B6570C" w:rsidRPr="003F0DDD" w:rsidRDefault="00B6570C" w:rsidP="00B6570C">
            <w:pPr>
              <w:pStyle w:val="ListParagraph"/>
              <w:numPr>
                <w:ilvl w:val="0"/>
                <w:numId w:val="2"/>
              </w:numPr>
              <w:spacing w:line="240" w:lineRule="auto"/>
              <w:rPr>
                <w:sz w:val="18"/>
                <w:szCs w:val="18"/>
                <w:lang w:val="en-US"/>
              </w:rPr>
            </w:pPr>
            <w:r w:rsidRPr="003F0DDD">
              <w:rPr>
                <w:sz w:val="18"/>
                <w:szCs w:val="18"/>
                <w:lang w:val="en-US"/>
              </w:rPr>
              <w:t>Cholecystectomy</w:t>
            </w:r>
            <w:r w:rsidRPr="003F0DDD">
              <w:rPr>
                <w:rFonts w:ascii="Arial" w:hAnsi="Arial" w:cs="Arial"/>
                <w:b/>
                <w:bCs/>
                <w:color w:val="202124"/>
                <w:shd w:val="clear" w:color="auto" w:fill="FFFFFF"/>
                <w:lang w:val="en-US"/>
              </w:rPr>
              <w:t xml:space="preserve"> </w:t>
            </w:r>
            <w:r w:rsidRPr="003F0DDD">
              <w:rPr>
                <w:sz w:val="18"/>
                <w:szCs w:val="18"/>
                <w:lang w:val="en-US"/>
              </w:rPr>
              <w:t xml:space="preserve">laparoscopic </w:t>
            </w:r>
          </w:p>
          <w:p w:rsidR="00B6570C" w:rsidRPr="003F0DDD" w:rsidRDefault="00B6570C" w:rsidP="00B6570C">
            <w:pPr>
              <w:pStyle w:val="ListParagraph"/>
              <w:numPr>
                <w:ilvl w:val="0"/>
                <w:numId w:val="2"/>
              </w:numPr>
              <w:spacing w:line="240" w:lineRule="auto"/>
              <w:rPr>
                <w:sz w:val="18"/>
                <w:szCs w:val="18"/>
                <w:lang w:val="en-US"/>
              </w:rPr>
            </w:pPr>
            <w:r w:rsidRPr="003F0DDD">
              <w:rPr>
                <w:sz w:val="18"/>
                <w:szCs w:val="18"/>
                <w:lang w:val="en-US"/>
              </w:rPr>
              <w:t xml:space="preserve">Laparotomy </w:t>
            </w:r>
          </w:p>
          <w:p w:rsidR="00B6570C" w:rsidRPr="003F0DDD" w:rsidRDefault="00B6570C" w:rsidP="00B6570C">
            <w:pPr>
              <w:pStyle w:val="ListParagraph"/>
              <w:numPr>
                <w:ilvl w:val="0"/>
                <w:numId w:val="2"/>
              </w:numPr>
              <w:spacing w:line="240" w:lineRule="auto"/>
              <w:rPr>
                <w:sz w:val="18"/>
                <w:szCs w:val="18"/>
                <w:lang w:val="en-US"/>
              </w:rPr>
            </w:pPr>
            <w:r w:rsidRPr="003F0DDD">
              <w:rPr>
                <w:rFonts w:eastAsia="Times New Roman" w:cs="Times New Roman"/>
                <w:bCs/>
                <w:color w:val="212121"/>
                <w:kern w:val="36"/>
                <w:sz w:val="18"/>
                <w:szCs w:val="18"/>
                <w:lang w:val="en-US" w:eastAsia="nl-NL"/>
              </w:rPr>
              <w:t>Closure of the Petersen mesenteric defect</w:t>
            </w:r>
          </w:p>
          <w:p w:rsidR="00B6570C" w:rsidRPr="003F0DDD" w:rsidRDefault="00B6570C" w:rsidP="00B6570C">
            <w:pPr>
              <w:pStyle w:val="ListParagraph"/>
              <w:numPr>
                <w:ilvl w:val="0"/>
                <w:numId w:val="2"/>
              </w:numPr>
              <w:spacing w:line="240" w:lineRule="auto"/>
              <w:rPr>
                <w:sz w:val="18"/>
                <w:szCs w:val="18"/>
                <w:lang w:val="en-US"/>
              </w:rPr>
            </w:pPr>
            <w:r w:rsidRPr="003F0DDD">
              <w:rPr>
                <w:sz w:val="18"/>
                <w:szCs w:val="18"/>
                <w:lang w:val="en-US"/>
              </w:rPr>
              <w:t xml:space="preserve">Bleeding within 24 hours of the primary surgery </w:t>
            </w:r>
          </w:p>
          <w:p w:rsidR="00B6570C" w:rsidRPr="003F0DDD" w:rsidRDefault="00B6570C" w:rsidP="00B6570C">
            <w:pPr>
              <w:pStyle w:val="ListParagraph"/>
              <w:numPr>
                <w:ilvl w:val="0"/>
                <w:numId w:val="2"/>
              </w:numPr>
              <w:spacing w:line="240" w:lineRule="auto"/>
              <w:rPr>
                <w:sz w:val="18"/>
                <w:szCs w:val="18"/>
                <w:lang w:val="en-US"/>
              </w:rPr>
            </w:pPr>
            <w:r w:rsidRPr="003F0DDD">
              <w:rPr>
                <w:rFonts w:cs="Arial"/>
                <w:color w:val="000000"/>
                <w:sz w:val="18"/>
                <w:szCs w:val="18"/>
                <w:shd w:val="clear" w:color="auto" w:fill="FFFFFF"/>
                <w:lang w:val="en-US"/>
              </w:rPr>
              <w:t>I</w:t>
            </w:r>
            <w:r w:rsidRPr="003F0DDD">
              <w:rPr>
                <w:rFonts w:cs="Arial"/>
                <w:color w:val="000000"/>
                <w:sz w:val="18"/>
                <w:szCs w:val="18"/>
                <w:shd w:val="clear" w:color="auto" w:fill="FFFEEF"/>
                <w:lang w:val="en-US"/>
              </w:rPr>
              <w:t>ncisional </w:t>
            </w:r>
            <w:r w:rsidRPr="003F0DDD">
              <w:rPr>
                <w:sz w:val="18"/>
                <w:szCs w:val="18"/>
                <w:lang w:val="en-US"/>
              </w:rPr>
              <w:t>hernia (open / laparoscopic)</w:t>
            </w:r>
          </w:p>
        </w:tc>
        <w:tc>
          <w:tcPr>
            <w:tcW w:w="5245" w:type="dxa"/>
          </w:tcPr>
          <w:p w:rsidR="00B6570C" w:rsidRPr="003F0DDD" w:rsidRDefault="00B6570C" w:rsidP="00675BC1">
            <w:pPr>
              <w:spacing w:line="240" w:lineRule="auto"/>
              <w:rPr>
                <w:sz w:val="18"/>
                <w:szCs w:val="18"/>
                <w:lang w:val="en-US"/>
              </w:rPr>
            </w:pPr>
            <w:r>
              <w:rPr>
                <w:sz w:val="18"/>
                <w:szCs w:val="18"/>
                <w:lang w:val="en-US"/>
              </w:rPr>
              <w:t xml:space="preserve">If a surgery </w:t>
            </w:r>
            <w:r w:rsidRPr="003F0DDD">
              <w:rPr>
                <w:sz w:val="18"/>
                <w:szCs w:val="18"/>
                <w:lang w:val="en-US"/>
              </w:rPr>
              <w:t xml:space="preserve">was performed within 30 days following the primary </w:t>
            </w:r>
            <w:r>
              <w:rPr>
                <w:sz w:val="18"/>
                <w:szCs w:val="18"/>
                <w:lang w:val="en-US"/>
              </w:rPr>
              <w:t>surgery, the</w:t>
            </w:r>
            <w:r w:rsidRPr="003F0DDD">
              <w:rPr>
                <w:sz w:val="18"/>
                <w:szCs w:val="18"/>
                <w:lang w:val="en-US"/>
              </w:rPr>
              <w:t xml:space="preserve"> treatment failed to meet the clinical outcome indicator.</w:t>
            </w:r>
          </w:p>
        </w:tc>
      </w:tr>
      <w:tr w:rsidR="00B6570C" w:rsidRPr="00AA2531" w:rsidTr="00675BC1">
        <w:tc>
          <w:tcPr>
            <w:tcW w:w="2684" w:type="dxa"/>
            <w:vMerge/>
          </w:tcPr>
          <w:p w:rsidR="00B6570C" w:rsidRPr="003F0DDD" w:rsidRDefault="00B6570C" w:rsidP="00675BC1">
            <w:pPr>
              <w:spacing w:line="240" w:lineRule="auto"/>
              <w:rPr>
                <w:sz w:val="18"/>
                <w:szCs w:val="18"/>
                <w:lang w:val="en-US"/>
              </w:rPr>
            </w:pPr>
          </w:p>
        </w:tc>
        <w:tc>
          <w:tcPr>
            <w:tcW w:w="1123" w:type="dxa"/>
          </w:tcPr>
          <w:p w:rsidR="00B6570C" w:rsidRPr="003F0DDD" w:rsidRDefault="00B6570C" w:rsidP="00675BC1">
            <w:pPr>
              <w:spacing w:line="240" w:lineRule="auto"/>
              <w:rPr>
                <w:sz w:val="18"/>
                <w:szCs w:val="18"/>
                <w:lang w:val="en-US"/>
              </w:rPr>
            </w:pPr>
            <w:r w:rsidRPr="003F0DDD">
              <w:rPr>
                <w:sz w:val="18"/>
                <w:szCs w:val="18"/>
                <w:lang w:val="en-US"/>
              </w:rPr>
              <w:t>Deficiency</w:t>
            </w:r>
          </w:p>
        </w:tc>
        <w:tc>
          <w:tcPr>
            <w:tcW w:w="6967" w:type="dxa"/>
          </w:tcPr>
          <w:p w:rsidR="00B6570C" w:rsidRPr="003F0DDD" w:rsidRDefault="00B6570C" w:rsidP="00675BC1">
            <w:pPr>
              <w:spacing w:line="240" w:lineRule="auto"/>
              <w:rPr>
                <w:sz w:val="18"/>
                <w:szCs w:val="18"/>
                <w:lang w:val="en-US"/>
              </w:rPr>
            </w:pPr>
            <w:r w:rsidRPr="003F0DDD">
              <w:rPr>
                <w:sz w:val="18"/>
                <w:szCs w:val="18"/>
                <w:lang w:val="en-US"/>
              </w:rPr>
              <w:t>The following blood levels were measured:</w:t>
            </w:r>
          </w:p>
          <w:p w:rsidR="00B6570C" w:rsidRPr="003F0DDD" w:rsidRDefault="00B6570C" w:rsidP="00B6570C">
            <w:pPr>
              <w:pStyle w:val="ListParagraph"/>
              <w:numPr>
                <w:ilvl w:val="0"/>
                <w:numId w:val="1"/>
              </w:numPr>
              <w:autoSpaceDE w:val="0"/>
              <w:autoSpaceDN w:val="0"/>
              <w:adjustRightInd w:val="0"/>
              <w:spacing w:line="240" w:lineRule="auto"/>
              <w:rPr>
                <w:sz w:val="18"/>
                <w:szCs w:val="18"/>
                <w:lang w:val="en-US"/>
              </w:rPr>
            </w:pPr>
            <w:r w:rsidRPr="003F0DDD">
              <w:rPr>
                <w:sz w:val="18"/>
                <w:szCs w:val="18"/>
                <w:lang w:val="en-US"/>
              </w:rPr>
              <w:t>Ferritine         (22 µg/L)</w:t>
            </w:r>
          </w:p>
          <w:p w:rsidR="00B6570C" w:rsidRPr="003F0DDD" w:rsidRDefault="00B6570C" w:rsidP="00B6570C">
            <w:pPr>
              <w:pStyle w:val="ListParagraph"/>
              <w:numPr>
                <w:ilvl w:val="0"/>
                <w:numId w:val="1"/>
              </w:numPr>
              <w:autoSpaceDE w:val="0"/>
              <w:autoSpaceDN w:val="0"/>
              <w:adjustRightInd w:val="0"/>
              <w:spacing w:line="240" w:lineRule="auto"/>
              <w:rPr>
                <w:sz w:val="18"/>
                <w:szCs w:val="18"/>
                <w:lang w:val="en-US"/>
              </w:rPr>
            </w:pPr>
            <w:r w:rsidRPr="003F0DDD">
              <w:rPr>
                <w:sz w:val="18"/>
                <w:szCs w:val="18"/>
                <w:lang w:val="en-US"/>
              </w:rPr>
              <w:t>Active B12     (32 pmol/L)</w:t>
            </w:r>
          </w:p>
          <w:p w:rsidR="00B6570C" w:rsidRPr="003F0DDD" w:rsidRDefault="00B6570C" w:rsidP="00B6570C">
            <w:pPr>
              <w:pStyle w:val="ListParagraph"/>
              <w:numPr>
                <w:ilvl w:val="0"/>
                <w:numId w:val="1"/>
              </w:numPr>
              <w:autoSpaceDE w:val="0"/>
              <w:autoSpaceDN w:val="0"/>
              <w:adjustRightInd w:val="0"/>
              <w:spacing w:line="240" w:lineRule="auto"/>
              <w:rPr>
                <w:sz w:val="18"/>
                <w:szCs w:val="18"/>
                <w:lang w:val="en-US"/>
              </w:rPr>
            </w:pPr>
            <w:r w:rsidRPr="003F0DDD">
              <w:rPr>
                <w:sz w:val="18"/>
                <w:szCs w:val="18"/>
                <w:lang w:val="en-US"/>
              </w:rPr>
              <w:t>Folate             (7 nmol/L)</w:t>
            </w:r>
          </w:p>
          <w:p w:rsidR="00B6570C" w:rsidRPr="003F0DDD" w:rsidRDefault="00B6570C" w:rsidP="00B6570C">
            <w:pPr>
              <w:pStyle w:val="ListParagraph"/>
              <w:numPr>
                <w:ilvl w:val="0"/>
                <w:numId w:val="1"/>
              </w:numPr>
              <w:autoSpaceDE w:val="0"/>
              <w:autoSpaceDN w:val="0"/>
              <w:adjustRightInd w:val="0"/>
              <w:spacing w:line="240" w:lineRule="auto"/>
              <w:rPr>
                <w:sz w:val="18"/>
                <w:szCs w:val="18"/>
                <w:lang w:val="en-US"/>
              </w:rPr>
            </w:pPr>
            <w:r w:rsidRPr="003F0DDD">
              <w:rPr>
                <w:sz w:val="18"/>
                <w:szCs w:val="18"/>
                <w:lang w:val="en-US"/>
              </w:rPr>
              <w:t xml:space="preserve">Vitamin B1     (70 nmol/L) </w:t>
            </w:r>
          </w:p>
          <w:p w:rsidR="00B6570C" w:rsidRPr="003F0DDD" w:rsidRDefault="00B6570C" w:rsidP="00B6570C">
            <w:pPr>
              <w:pStyle w:val="ListParagraph"/>
              <w:numPr>
                <w:ilvl w:val="0"/>
                <w:numId w:val="1"/>
              </w:numPr>
              <w:autoSpaceDE w:val="0"/>
              <w:autoSpaceDN w:val="0"/>
              <w:adjustRightInd w:val="0"/>
              <w:spacing w:line="240" w:lineRule="auto"/>
              <w:rPr>
                <w:sz w:val="18"/>
                <w:szCs w:val="18"/>
                <w:lang w:val="en-US"/>
              </w:rPr>
            </w:pPr>
            <w:r w:rsidRPr="003F0DDD">
              <w:rPr>
                <w:sz w:val="18"/>
                <w:szCs w:val="18"/>
                <w:lang w:val="en-US"/>
              </w:rPr>
              <w:t>Vitamin B6     (35 nmol/L)</w:t>
            </w:r>
          </w:p>
          <w:p w:rsidR="00B6570C" w:rsidRPr="003F0DDD" w:rsidRDefault="00B6570C" w:rsidP="00B6570C">
            <w:pPr>
              <w:pStyle w:val="ListParagraph"/>
              <w:numPr>
                <w:ilvl w:val="0"/>
                <w:numId w:val="1"/>
              </w:numPr>
              <w:autoSpaceDE w:val="0"/>
              <w:autoSpaceDN w:val="0"/>
              <w:adjustRightInd w:val="0"/>
              <w:spacing w:line="240" w:lineRule="auto"/>
              <w:rPr>
                <w:sz w:val="18"/>
                <w:szCs w:val="18"/>
                <w:lang w:val="en-US"/>
              </w:rPr>
            </w:pPr>
            <w:r w:rsidRPr="003F0DDD">
              <w:rPr>
                <w:sz w:val="18"/>
                <w:szCs w:val="18"/>
                <w:lang w:val="en-US"/>
              </w:rPr>
              <w:t>Vitamin D       (50 nmol/L)</w:t>
            </w:r>
          </w:p>
          <w:p w:rsidR="00B6570C" w:rsidRPr="003F0DDD" w:rsidRDefault="00B6570C" w:rsidP="00675BC1">
            <w:pPr>
              <w:spacing w:line="240" w:lineRule="auto"/>
              <w:rPr>
                <w:sz w:val="18"/>
                <w:szCs w:val="18"/>
                <w:lang w:val="en-US"/>
              </w:rPr>
            </w:pPr>
          </w:p>
        </w:tc>
        <w:tc>
          <w:tcPr>
            <w:tcW w:w="5245" w:type="dxa"/>
          </w:tcPr>
          <w:p w:rsidR="00B6570C" w:rsidRPr="003F0DDD" w:rsidRDefault="00B6570C" w:rsidP="00675BC1">
            <w:pPr>
              <w:spacing w:line="240" w:lineRule="auto"/>
              <w:rPr>
                <w:sz w:val="18"/>
                <w:szCs w:val="18"/>
                <w:lang w:val="en-US"/>
              </w:rPr>
            </w:pPr>
            <w:r w:rsidRPr="003F0DDD">
              <w:rPr>
                <w:sz w:val="18"/>
                <w:szCs w:val="18"/>
                <w:lang w:val="en-US"/>
              </w:rPr>
              <w:t>The blood level measure after 9 months and before 21 months closed to one year mark post-surgery was used as the measure to decide if the patient had deficiencies. If in this measure any of the blood levels were below the norm levels the patient was classified as deficient and therefore failed the clinical outcome indicator.</w:t>
            </w:r>
          </w:p>
        </w:tc>
      </w:tr>
      <w:tr w:rsidR="00B6570C" w:rsidRPr="00AA2531" w:rsidTr="00675BC1">
        <w:tc>
          <w:tcPr>
            <w:tcW w:w="2684" w:type="dxa"/>
            <w:vMerge/>
          </w:tcPr>
          <w:p w:rsidR="00B6570C" w:rsidRPr="003F0DDD" w:rsidRDefault="00B6570C" w:rsidP="00675BC1">
            <w:pPr>
              <w:spacing w:line="240" w:lineRule="auto"/>
              <w:rPr>
                <w:sz w:val="18"/>
                <w:szCs w:val="18"/>
                <w:lang w:val="en-US"/>
              </w:rPr>
            </w:pPr>
          </w:p>
        </w:tc>
        <w:tc>
          <w:tcPr>
            <w:tcW w:w="1123" w:type="dxa"/>
          </w:tcPr>
          <w:p w:rsidR="00B6570C" w:rsidRPr="003F0DDD" w:rsidRDefault="00B6570C" w:rsidP="00675BC1">
            <w:pPr>
              <w:spacing w:line="240" w:lineRule="auto"/>
              <w:rPr>
                <w:sz w:val="18"/>
                <w:szCs w:val="18"/>
                <w:lang w:val="en-US"/>
              </w:rPr>
            </w:pPr>
            <w:r w:rsidRPr="003F0DDD">
              <w:rPr>
                <w:sz w:val="18"/>
                <w:szCs w:val="18"/>
                <w:lang w:val="en-US"/>
              </w:rPr>
              <w:t>Re-admission</w:t>
            </w:r>
          </w:p>
        </w:tc>
        <w:tc>
          <w:tcPr>
            <w:tcW w:w="6967" w:type="dxa"/>
          </w:tcPr>
          <w:p w:rsidR="00B6570C" w:rsidRPr="003F0DDD" w:rsidRDefault="00B6570C" w:rsidP="00675BC1">
            <w:pPr>
              <w:spacing w:line="240" w:lineRule="auto"/>
              <w:rPr>
                <w:sz w:val="18"/>
                <w:szCs w:val="18"/>
                <w:lang w:val="en-US"/>
              </w:rPr>
            </w:pPr>
            <w:r w:rsidRPr="003F0DDD">
              <w:rPr>
                <w:sz w:val="18"/>
                <w:szCs w:val="18"/>
                <w:lang w:val="en-US"/>
              </w:rPr>
              <w:t>Hospital admissions within 30 days post-</w:t>
            </w:r>
            <w:r>
              <w:rPr>
                <w:sz w:val="18"/>
                <w:szCs w:val="18"/>
                <w:lang w:val="en-US"/>
              </w:rPr>
              <w:t>surgery</w:t>
            </w:r>
            <w:r w:rsidRPr="003F0DDD">
              <w:rPr>
                <w:sz w:val="18"/>
                <w:szCs w:val="18"/>
                <w:lang w:val="en-US"/>
              </w:rPr>
              <w:t xml:space="preserve"> having one of the following diagnoses: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Acute abdomen (peritonitis)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Hernia diaphragmatic</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Incisional hernia</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Pyloric hypertrophy</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Pylorospasm</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Gastroesophageal Reflux</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Other (stomach) complaints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Local skin and subcutis infections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Abcess intra-abdominal</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Morbid obesity (BMI &lt;45)</w:t>
            </w:r>
          </w:p>
          <w:p w:rsidR="00B6570C" w:rsidRPr="009E4869" w:rsidRDefault="00B6570C" w:rsidP="00B6570C">
            <w:pPr>
              <w:pStyle w:val="ListParagraph"/>
              <w:numPr>
                <w:ilvl w:val="0"/>
                <w:numId w:val="1"/>
              </w:numPr>
              <w:spacing w:line="240" w:lineRule="auto"/>
              <w:rPr>
                <w:sz w:val="18"/>
                <w:szCs w:val="18"/>
                <w:lang w:val="en-US"/>
              </w:rPr>
            </w:pPr>
            <w:r w:rsidRPr="003F0DDD">
              <w:rPr>
                <w:sz w:val="18"/>
                <w:szCs w:val="18"/>
                <w:lang w:val="en-US"/>
              </w:rPr>
              <w:t>Morbid</w:t>
            </w:r>
            <w:r w:rsidRPr="009E4869">
              <w:rPr>
                <w:sz w:val="18"/>
                <w:szCs w:val="18"/>
                <w:lang w:val="en-US"/>
              </w:rPr>
              <w:t xml:space="preserve"> obesity (BMI &gt;45)</w:t>
            </w:r>
          </w:p>
          <w:p w:rsidR="00B6570C" w:rsidRPr="003F0DDD" w:rsidRDefault="00B6570C" w:rsidP="00B6570C">
            <w:pPr>
              <w:pStyle w:val="ListParagraph"/>
              <w:numPr>
                <w:ilvl w:val="0"/>
                <w:numId w:val="1"/>
              </w:numPr>
              <w:spacing w:line="240" w:lineRule="auto"/>
              <w:rPr>
                <w:sz w:val="18"/>
                <w:szCs w:val="18"/>
                <w:lang w:val="en-US"/>
              </w:rPr>
            </w:pPr>
            <w:r w:rsidRPr="003F0DDD">
              <w:rPr>
                <w:rStyle w:val="y2iqfc"/>
                <w:color w:val="202124"/>
                <w:sz w:val="18"/>
                <w:szCs w:val="18"/>
                <w:lang w:val="en-US"/>
              </w:rPr>
              <w:t>Duodenal ulcer / ventricles + perf</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Obstipation</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lastRenderedPageBreak/>
              <w:t>Cholecystitis / Cholelithiasis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Pancreatis</w:t>
            </w:r>
          </w:p>
          <w:p w:rsidR="00B6570C" w:rsidRPr="003F0DDD" w:rsidRDefault="00B6570C" w:rsidP="00B6570C">
            <w:pPr>
              <w:pStyle w:val="ListParagraph"/>
              <w:numPr>
                <w:ilvl w:val="0"/>
                <w:numId w:val="1"/>
              </w:numPr>
              <w:spacing w:line="240" w:lineRule="auto"/>
              <w:rPr>
                <w:sz w:val="18"/>
                <w:szCs w:val="18"/>
                <w:lang w:val="en-US"/>
              </w:rPr>
            </w:pPr>
            <w:hyperlink r:id="rId5" w:history="1">
              <w:r w:rsidRPr="003F0DDD">
                <w:rPr>
                  <w:sz w:val="18"/>
                  <w:szCs w:val="18"/>
                  <w:lang w:val="en-US"/>
                </w:rPr>
                <w:t>intussusception</w:t>
              </w:r>
            </w:hyperlink>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mesenteric thrombosis</w:t>
            </w:r>
          </w:p>
          <w:p w:rsidR="00B6570C" w:rsidRPr="003F0DDD" w:rsidRDefault="00B6570C" w:rsidP="00B6570C">
            <w:pPr>
              <w:pStyle w:val="ListParagraph"/>
              <w:numPr>
                <w:ilvl w:val="0"/>
                <w:numId w:val="1"/>
              </w:numPr>
              <w:spacing w:line="240" w:lineRule="auto"/>
              <w:rPr>
                <w:sz w:val="18"/>
                <w:szCs w:val="18"/>
                <w:lang w:val="en-US"/>
              </w:rPr>
            </w:pPr>
            <w:r w:rsidRPr="003F0DDD">
              <w:rPr>
                <w:rStyle w:val="y2iqfc"/>
                <w:color w:val="202124"/>
                <w:sz w:val="18"/>
                <w:szCs w:val="18"/>
                <w:lang w:val="en-US"/>
              </w:rPr>
              <w:t>Volvulus bowel</w:t>
            </w:r>
          </w:p>
          <w:p w:rsidR="00B6570C" w:rsidRPr="003F0DDD" w:rsidRDefault="00B6570C" w:rsidP="00B6570C">
            <w:pPr>
              <w:pStyle w:val="ListParagraph"/>
              <w:numPr>
                <w:ilvl w:val="0"/>
                <w:numId w:val="1"/>
              </w:numPr>
              <w:spacing w:line="240" w:lineRule="auto"/>
              <w:rPr>
                <w:sz w:val="18"/>
                <w:szCs w:val="18"/>
                <w:lang w:val="en-US"/>
              </w:rPr>
            </w:pPr>
            <w:r w:rsidRPr="003F0DDD">
              <w:rPr>
                <w:rStyle w:val="y2iqfc"/>
                <w:color w:val="202124"/>
                <w:sz w:val="18"/>
                <w:szCs w:val="18"/>
                <w:lang w:val="en-US"/>
              </w:rPr>
              <w:t>Ileus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 xml:space="preserve">Other non-maligant </w:t>
            </w:r>
            <w:r w:rsidRPr="003F0DDD">
              <w:rPr>
                <w:lang w:val="en-US"/>
              </w:rPr>
              <w:br/>
            </w:r>
            <w:r w:rsidRPr="003F0DDD">
              <w:rPr>
                <w:sz w:val="18"/>
                <w:szCs w:val="18"/>
                <w:lang w:val="en-US"/>
              </w:rPr>
              <w:t>Gastrointestinal condition</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Acute deep venous pathology</w:t>
            </w:r>
          </w:p>
          <w:p w:rsidR="00B6570C" w:rsidRPr="003F0DDD" w:rsidRDefault="00B6570C" w:rsidP="00675BC1">
            <w:pPr>
              <w:spacing w:line="240" w:lineRule="auto"/>
              <w:rPr>
                <w:sz w:val="18"/>
                <w:szCs w:val="18"/>
                <w:lang w:val="en-US"/>
              </w:rPr>
            </w:pPr>
          </w:p>
        </w:tc>
        <w:tc>
          <w:tcPr>
            <w:tcW w:w="5245" w:type="dxa"/>
          </w:tcPr>
          <w:p w:rsidR="00B6570C" w:rsidRPr="003F0DDD" w:rsidRDefault="00B6570C" w:rsidP="00675BC1">
            <w:pPr>
              <w:spacing w:line="240" w:lineRule="auto"/>
              <w:rPr>
                <w:sz w:val="18"/>
                <w:szCs w:val="18"/>
                <w:lang w:val="en-US"/>
              </w:rPr>
            </w:pPr>
            <w:r w:rsidRPr="003F0DDD">
              <w:rPr>
                <w:sz w:val="18"/>
                <w:szCs w:val="18"/>
                <w:lang w:val="en-US"/>
              </w:rPr>
              <w:lastRenderedPageBreak/>
              <w:t>If there was an additional unplanned admission the treatment was stated to have failed to meet the clinical outcome indicator.</w:t>
            </w:r>
          </w:p>
        </w:tc>
      </w:tr>
      <w:tr w:rsidR="00B6570C" w:rsidRPr="00AA2531" w:rsidTr="00675BC1">
        <w:tc>
          <w:tcPr>
            <w:tcW w:w="2684" w:type="dxa"/>
            <w:vMerge/>
          </w:tcPr>
          <w:p w:rsidR="00B6570C" w:rsidRPr="003F0DDD" w:rsidRDefault="00B6570C" w:rsidP="00675BC1">
            <w:pPr>
              <w:spacing w:line="240" w:lineRule="auto"/>
              <w:rPr>
                <w:sz w:val="18"/>
                <w:szCs w:val="18"/>
                <w:lang w:val="en-US"/>
              </w:rPr>
            </w:pPr>
          </w:p>
        </w:tc>
        <w:tc>
          <w:tcPr>
            <w:tcW w:w="1123" w:type="dxa"/>
          </w:tcPr>
          <w:p w:rsidR="00B6570C" w:rsidRPr="003F0DDD" w:rsidRDefault="00B6570C" w:rsidP="00675BC1">
            <w:pPr>
              <w:spacing w:line="240" w:lineRule="auto"/>
              <w:rPr>
                <w:sz w:val="18"/>
                <w:szCs w:val="18"/>
                <w:lang w:val="en-US"/>
              </w:rPr>
            </w:pPr>
            <w:r w:rsidRPr="003F0DDD">
              <w:rPr>
                <w:sz w:val="18"/>
                <w:szCs w:val="18"/>
                <w:lang w:val="en-US"/>
              </w:rPr>
              <w:t>Admission time</w:t>
            </w:r>
          </w:p>
        </w:tc>
        <w:tc>
          <w:tcPr>
            <w:tcW w:w="6967" w:type="dxa"/>
          </w:tcPr>
          <w:p w:rsidR="00B6570C" w:rsidRPr="003F0DDD" w:rsidRDefault="00B6570C" w:rsidP="00675BC1">
            <w:pPr>
              <w:spacing w:line="240" w:lineRule="auto"/>
              <w:rPr>
                <w:sz w:val="18"/>
                <w:szCs w:val="18"/>
                <w:lang w:val="en-US"/>
              </w:rPr>
            </w:pPr>
            <w:r w:rsidRPr="003F0DDD">
              <w:rPr>
                <w:sz w:val="18"/>
                <w:szCs w:val="18"/>
                <w:lang w:val="en-US"/>
              </w:rPr>
              <w:t>Admission time directly following the surgery</w:t>
            </w:r>
          </w:p>
        </w:tc>
        <w:tc>
          <w:tcPr>
            <w:tcW w:w="5245" w:type="dxa"/>
          </w:tcPr>
          <w:p w:rsidR="00B6570C" w:rsidRPr="003F0DDD" w:rsidRDefault="00B6570C" w:rsidP="00675BC1">
            <w:pPr>
              <w:spacing w:line="240" w:lineRule="auto"/>
              <w:rPr>
                <w:sz w:val="18"/>
                <w:szCs w:val="18"/>
                <w:lang w:val="en-US"/>
              </w:rPr>
            </w:pPr>
            <w:r w:rsidRPr="003F0DDD">
              <w:rPr>
                <w:sz w:val="18"/>
                <w:szCs w:val="18"/>
                <w:lang w:val="en-US"/>
              </w:rPr>
              <w:t>If admission time of the primary admission exceeded 72 hours treatment was stated to have failed to meet the clinical outcome indicator.</w:t>
            </w:r>
          </w:p>
        </w:tc>
      </w:tr>
      <w:tr w:rsidR="00B6570C" w:rsidRPr="00AA2531" w:rsidTr="00675BC1">
        <w:tc>
          <w:tcPr>
            <w:tcW w:w="2684" w:type="dxa"/>
            <w:vMerge/>
          </w:tcPr>
          <w:p w:rsidR="00B6570C" w:rsidRPr="003F0DDD" w:rsidRDefault="00B6570C" w:rsidP="00675BC1">
            <w:pPr>
              <w:spacing w:line="240" w:lineRule="auto"/>
              <w:rPr>
                <w:sz w:val="18"/>
                <w:szCs w:val="18"/>
                <w:lang w:val="en-US"/>
              </w:rPr>
            </w:pPr>
          </w:p>
        </w:tc>
        <w:tc>
          <w:tcPr>
            <w:tcW w:w="1123" w:type="dxa"/>
          </w:tcPr>
          <w:p w:rsidR="00B6570C" w:rsidRPr="003F0DDD" w:rsidRDefault="00B6570C" w:rsidP="00675BC1">
            <w:pPr>
              <w:spacing w:line="240" w:lineRule="auto"/>
              <w:rPr>
                <w:sz w:val="18"/>
                <w:szCs w:val="18"/>
                <w:lang w:val="en-US"/>
              </w:rPr>
            </w:pPr>
            <w:r w:rsidRPr="003F0DDD">
              <w:rPr>
                <w:sz w:val="18"/>
                <w:szCs w:val="18"/>
                <w:lang w:val="en-US"/>
              </w:rPr>
              <w:t>ER</w:t>
            </w:r>
          </w:p>
        </w:tc>
        <w:tc>
          <w:tcPr>
            <w:tcW w:w="6967" w:type="dxa"/>
          </w:tcPr>
          <w:p w:rsidR="00B6570C" w:rsidRPr="003F0DDD" w:rsidRDefault="00B6570C" w:rsidP="00675BC1">
            <w:pPr>
              <w:spacing w:line="240" w:lineRule="auto"/>
              <w:rPr>
                <w:sz w:val="18"/>
                <w:szCs w:val="18"/>
                <w:lang w:val="en-US"/>
              </w:rPr>
            </w:pPr>
            <w:r w:rsidRPr="003F0DDD">
              <w:rPr>
                <w:sz w:val="18"/>
                <w:szCs w:val="18"/>
                <w:lang w:val="en-US"/>
              </w:rPr>
              <w:t>Emergency room visits within 30 days post</w:t>
            </w:r>
            <w:r>
              <w:rPr>
                <w:sz w:val="18"/>
                <w:szCs w:val="18"/>
                <w:lang w:val="en-US"/>
              </w:rPr>
              <w:t xml:space="preserve">-surgery </w:t>
            </w:r>
            <w:r w:rsidRPr="003F0DDD">
              <w:rPr>
                <w:sz w:val="18"/>
                <w:szCs w:val="18"/>
                <w:lang w:val="en-US"/>
              </w:rPr>
              <w:t xml:space="preserve"> having one of the following diagnoses: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Acute abdomen (peritonitis)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Hernia diaphragmatic</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Incisional hernia</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Pyloric hypertrophy</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Pylorospasm</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Gastroesophageal Reflux</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Other (stomach) complaints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Local skin and subcutis infections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Abcess intra-abdominal</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Morbid obesity (BMI &lt;45)</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Morbid obesity (BMI &gt;45)</w:t>
            </w:r>
          </w:p>
          <w:p w:rsidR="00B6570C" w:rsidRPr="003F0DDD" w:rsidRDefault="00B6570C" w:rsidP="00B6570C">
            <w:pPr>
              <w:pStyle w:val="ListParagraph"/>
              <w:numPr>
                <w:ilvl w:val="0"/>
                <w:numId w:val="1"/>
              </w:numPr>
              <w:spacing w:line="240" w:lineRule="auto"/>
              <w:rPr>
                <w:sz w:val="18"/>
                <w:szCs w:val="18"/>
                <w:lang w:val="en-US"/>
              </w:rPr>
            </w:pPr>
            <w:r w:rsidRPr="003F0DDD">
              <w:rPr>
                <w:rStyle w:val="y2iqfc"/>
                <w:color w:val="202124"/>
                <w:sz w:val="18"/>
                <w:szCs w:val="18"/>
                <w:lang w:val="en-US"/>
              </w:rPr>
              <w:t>Duodenal ulcer / ventricles + perf</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Obstipation</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Cholecystitis / Cholelithiasis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Pancreatis</w:t>
            </w:r>
          </w:p>
          <w:p w:rsidR="00B6570C" w:rsidRPr="003F0DDD" w:rsidRDefault="00B6570C" w:rsidP="00B6570C">
            <w:pPr>
              <w:pStyle w:val="ListParagraph"/>
              <w:numPr>
                <w:ilvl w:val="0"/>
                <w:numId w:val="1"/>
              </w:numPr>
              <w:spacing w:line="240" w:lineRule="auto"/>
              <w:rPr>
                <w:sz w:val="18"/>
                <w:szCs w:val="18"/>
                <w:lang w:val="en-US"/>
              </w:rPr>
            </w:pPr>
            <w:hyperlink r:id="rId6" w:history="1">
              <w:r w:rsidRPr="003F0DDD">
                <w:rPr>
                  <w:sz w:val="18"/>
                  <w:szCs w:val="18"/>
                  <w:lang w:val="en-US"/>
                </w:rPr>
                <w:t>intussusception</w:t>
              </w:r>
            </w:hyperlink>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mesenteric thrombosis</w:t>
            </w:r>
          </w:p>
          <w:p w:rsidR="00B6570C" w:rsidRPr="003F0DDD" w:rsidRDefault="00B6570C" w:rsidP="00B6570C">
            <w:pPr>
              <w:pStyle w:val="ListParagraph"/>
              <w:numPr>
                <w:ilvl w:val="0"/>
                <w:numId w:val="1"/>
              </w:numPr>
              <w:spacing w:line="240" w:lineRule="auto"/>
              <w:rPr>
                <w:sz w:val="18"/>
                <w:szCs w:val="18"/>
                <w:lang w:val="en-US"/>
              </w:rPr>
            </w:pPr>
            <w:r w:rsidRPr="003F0DDD">
              <w:rPr>
                <w:rStyle w:val="y2iqfc"/>
                <w:color w:val="202124"/>
                <w:sz w:val="18"/>
                <w:szCs w:val="18"/>
                <w:lang w:val="en-US"/>
              </w:rPr>
              <w:t>Volvulus bowel</w:t>
            </w:r>
          </w:p>
          <w:p w:rsidR="00B6570C" w:rsidRPr="003F0DDD" w:rsidRDefault="00B6570C" w:rsidP="00B6570C">
            <w:pPr>
              <w:pStyle w:val="ListParagraph"/>
              <w:numPr>
                <w:ilvl w:val="0"/>
                <w:numId w:val="1"/>
              </w:numPr>
              <w:spacing w:line="240" w:lineRule="auto"/>
              <w:rPr>
                <w:sz w:val="18"/>
                <w:szCs w:val="18"/>
                <w:lang w:val="en-US"/>
              </w:rPr>
            </w:pPr>
            <w:r w:rsidRPr="003F0DDD">
              <w:rPr>
                <w:rStyle w:val="y2iqfc"/>
                <w:color w:val="202124"/>
                <w:sz w:val="18"/>
                <w:szCs w:val="18"/>
                <w:lang w:val="en-US"/>
              </w:rPr>
              <w:t>Ileus</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 xml:space="preserve">Other non-maligant </w:t>
            </w:r>
            <w:r w:rsidRPr="003F0DDD">
              <w:rPr>
                <w:lang w:val="en-US"/>
              </w:rPr>
              <w:br/>
            </w:r>
            <w:r w:rsidRPr="003F0DDD">
              <w:rPr>
                <w:sz w:val="18"/>
                <w:szCs w:val="18"/>
                <w:lang w:val="en-US"/>
              </w:rPr>
              <w:t>Gastrointestinal condition</w:t>
            </w:r>
          </w:p>
          <w:p w:rsidR="00B6570C" w:rsidRPr="003F0DDD" w:rsidRDefault="00B6570C" w:rsidP="00B6570C">
            <w:pPr>
              <w:pStyle w:val="ListParagraph"/>
              <w:numPr>
                <w:ilvl w:val="0"/>
                <w:numId w:val="1"/>
              </w:numPr>
              <w:spacing w:line="240" w:lineRule="auto"/>
              <w:rPr>
                <w:sz w:val="18"/>
                <w:szCs w:val="18"/>
                <w:lang w:val="en-US"/>
              </w:rPr>
            </w:pPr>
            <w:r w:rsidRPr="003F0DDD">
              <w:rPr>
                <w:sz w:val="18"/>
                <w:szCs w:val="18"/>
                <w:lang w:val="en-US"/>
              </w:rPr>
              <w:t>Acute deep venous pathology</w:t>
            </w:r>
          </w:p>
          <w:p w:rsidR="00B6570C" w:rsidRPr="003F0DDD" w:rsidRDefault="00B6570C" w:rsidP="00675BC1">
            <w:pPr>
              <w:spacing w:line="240" w:lineRule="auto"/>
              <w:rPr>
                <w:sz w:val="18"/>
                <w:szCs w:val="18"/>
                <w:lang w:val="en-US"/>
              </w:rPr>
            </w:pPr>
          </w:p>
        </w:tc>
        <w:tc>
          <w:tcPr>
            <w:tcW w:w="5245" w:type="dxa"/>
          </w:tcPr>
          <w:p w:rsidR="00B6570C" w:rsidRPr="003F0DDD" w:rsidRDefault="00B6570C" w:rsidP="00675BC1">
            <w:pPr>
              <w:spacing w:line="240" w:lineRule="auto"/>
              <w:rPr>
                <w:sz w:val="18"/>
                <w:szCs w:val="18"/>
                <w:lang w:val="en-US"/>
              </w:rPr>
            </w:pPr>
            <w:r w:rsidRPr="003F0DDD">
              <w:rPr>
                <w:sz w:val="18"/>
                <w:szCs w:val="18"/>
                <w:lang w:val="en-US"/>
              </w:rPr>
              <w:t xml:space="preserve">If there was an emergency room visit within 30 post </w:t>
            </w:r>
            <w:r>
              <w:rPr>
                <w:sz w:val="18"/>
                <w:szCs w:val="18"/>
                <w:lang w:val="en-US"/>
              </w:rPr>
              <w:t>surgery the treatment</w:t>
            </w:r>
            <w:r w:rsidRPr="003F0DDD">
              <w:rPr>
                <w:sz w:val="18"/>
                <w:szCs w:val="18"/>
                <w:lang w:val="en-US"/>
              </w:rPr>
              <w:t xml:space="preserve"> failed to meet the clinical outcome indicator.</w:t>
            </w:r>
          </w:p>
        </w:tc>
      </w:tr>
      <w:tr w:rsidR="00B6570C" w:rsidRPr="00AA2531" w:rsidTr="00675BC1">
        <w:tc>
          <w:tcPr>
            <w:tcW w:w="2684" w:type="dxa"/>
            <w:vMerge/>
          </w:tcPr>
          <w:p w:rsidR="00B6570C" w:rsidRPr="003F0DDD" w:rsidRDefault="00B6570C" w:rsidP="00675BC1">
            <w:pPr>
              <w:spacing w:line="240" w:lineRule="auto"/>
              <w:rPr>
                <w:sz w:val="18"/>
                <w:szCs w:val="18"/>
                <w:lang w:val="en-US"/>
              </w:rPr>
            </w:pPr>
          </w:p>
        </w:tc>
        <w:tc>
          <w:tcPr>
            <w:tcW w:w="1123" w:type="dxa"/>
          </w:tcPr>
          <w:p w:rsidR="00B6570C" w:rsidRPr="003F0DDD" w:rsidRDefault="00B6570C" w:rsidP="00675BC1">
            <w:pPr>
              <w:spacing w:line="240" w:lineRule="auto"/>
              <w:rPr>
                <w:sz w:val="18"/>
                <w:szCs w:val="18"/>
                <w:lang w:val="en-US"/>
              </w:rPr>
            </w:pPr>
            <w:r w:rsidRPr="003F0DDD">
              <w:rPr>
                <w:sz w:val="18"/>
                <w:szCs w:val="18"/>
                <w:lang w:val="en-US"/>
              </w:rPr>
              <w:t>TWL (total weight loss)</w:t>
            </w:r>
          </w:p>
        </w:tc>
        <w:tc>
          <w:tcPr>
            <w:tcW w:w="6967" w:type="dxa"/>
          </w:tcPr>
          <w:p w:rsidR="00B6570C" w:rsidRPr="003F0DDD" w:rsidRDefault="00B6570C" w:rsidP="00675BC1">
            <w:pPr>
              <w:spacing w:line="240" w:lineRule="auto"/>
              <w:rPr>
                <w:sz w:val="18"/>
                <w:szCs w:val="18"/>
                <w:lang w:val="en-US"/>
              </w:rPr>
            </w:pPr>
            <w:r w:rsidRPr="003F0DDD">
              <w:rPr>
                <w:sz w:val="18"/>
                <w:szCs w:val="18"/>
                <w:lang w:val="en-US"/>
              </w:rPr>
              <w:t>(Initial weight – current weight) / initial weight</w:t>
            </w:r>
          </w:p>
        </w:tc>
        <w:tc>
          <w:tcPr>
            <w:tcW w:w="5245" w:type="dxa"/>
          </w:tcPr>
          <w:p w:rsidR="00B6570C" w:rsidRPr="003F0DDD" w:rsidRDefault="00B6570C" w:rsidP="00675BC1">
            <w:pPr>
              <w:spacing w:line="240" w:lineRule="auto"/>
              <w:rPr>
                <w:sz w:val="18"/>
                <w:szCs w:val="18"/>
                <w:lang w:val="en-US"/>
              </w:rPr>
            </w:pPr>
            <w:r>
              <w:rPr>
                <w:sz w:val="18"/>
                <w:szCs w:val="18"/>
                <w:lang w:val="en-US"/>
              </w:rPr>
              <w:t>If TWL exceeded 20% in a period of</w:t>
            </w:r>
            <w:r w:rsidRPr="003F0DDD">
              <w:rPr>
                <w:sz w:val="18"/>
                <w:szCs w:val="18"/>
                <w:lang w:val="en-US"/>
              </w:rPr>
              <w:t xml:space="preserve"> 455 days following the </w:t>
            </w:r>
            <w:r>
              <w:rPr>
                <w:sz w:val="18"/>
                <w:szCs w:val="18"/>
                <w:lang w:val="en-US"/>
              </w:rPr>
              <w:t>surgery</w:t>
            </w:r>
            <w:r w:rsidRPr="003F0DDD">
              <w:rPr>
                <w:sz w:val="18"/>
                <w:szCs w:val="18"/>
                <w:lang w:val="en-US"/>
              </w:rPr>
              <w:t xml:space="preserve"> the clinical outcome indicator was considered successfully passed.</w:t>
            </w:r>
          </w:p>
        </w:tc>
      </w:tr>
      <w:tr w:rsidR="00B6570C" w:rsidRPr="00AA2531" w:rsidTr="00675BC1">
        <w:tc>
          <w:tcPr>
            <w:tcW w:w="2684" w:type="dxa"/>
            <w:vMerge w:val="restart"/>
          </w:tcPr>
          <w:p w:rsidR="00B6570C" w:rsidRPr="003F0DDD" w:rsidRDefault="00B6570C" w:rsidP="00675BC1">
            <w:pPr>
              <w:spacing w:line="240" w:lineRule="auto"/>
              <w:rPr>
                <w:sz w:val="18"/>
                <w:szCs w:val="18"/>
                <w:lang w:val="en-US"/>
              </w:rPr>
            </w:pPr>
            <w:r w:rsidRPr="003F0DDD">
              <w:rPr>
                <w:sz w:val="18"/>
                <w:szCs w:val="18"/>
                <w:lang w:val="en-US"/>
              </w:rPr>
              <w:lastRenderedPageBreak/>
              <w:t>Breast Cancer</w:t>
            </w:r>
          </w:p>
        </w:tc>
        <w:tc>
          <w:tcPr>
            <w:tcW w:w="1123" w:type="dxa"/>
          </w:tcPr>
          <w:p w:rsidR="00B6570C" w:rsidRPr="003F0DDD" w:rsidRDefault="00B6570C" w:rsidP="00675BC1">
            <w:pPr>
              <w:spacing w:line="240" w:lineRule="auto"/>
              <w:rPr>
                <w:sz w:val="18"/>
                <w:szCs w:val="18"/>
                <w:lang w:val="en-US"/>
              </w:rPr>
            </w:pPr>
            <w:r>
              <w:rPr>
                <w:sz w:val="18"/>
                <w:szCs w:val="18"/>
                <w:lang w:val="en-US"/>
              </w:rPr>
              <w:t xml:space="preserve">Re-operation </w:t>
            </w:r>
          </w:p>
        </w:tc>
        <w:tc>
          <w:tcPr>
            <w:tcW w:w="6967" w:type="dxa"/>
          </w:tcPr>
          <w:p w:rsidR="00B6570C" w:rsidRDefault="00B6570C" w:rsidP="00675BC1">
            <w:pPr>
              <w:spacing w:line="240" w:lineRule="auto"/>
              <w:rPr>
                <w:sz w:val="18"/>
                <w:szCs w:val="18"/>
                <w:lang w:val="en-US"/>
              </w:rPr>
            </w:pPr>
            <w:r w:rsidRPr="003F0DDD">
              <w:rPr>
                <w:sz w:val="18"/>
                <w:szCs w:val="18"/>
                <w:lang w:val="en-US"/>
              </w:rPr>
              <w:t xml:space="preserve">All </w:t>
            </w:r>
            <w:r>
              <w:rPr>
                <w:sz w:val="18"/>
                <w:szCs w:val="18"/>
                <w:lang w:val="en-US"/>
              </w:rPr>
              <w:t>surgeries</w:t>
            </w:r>
            <w:r w:rsidRPr="003F0DDD">
              <w:rPr>
                <w:sz w:val="18"/>
                <w:szCs w:val="18"/>
                <w:lang w:val="en-US"/>
              </w:rPr>
              <w:t xml:space="preserve"> due to infections or bleeding </w:t>
            </w:r>
            <w:r>
              <w:rPr>
                <w:sz w:val="18"/>
                <w:szCs w:val="18"/>
                <w:lang w:val="en-US"/>
              </w:rPr>
              <w:t>as a result of</w:t>
            </w:r>
            <w:r w:rsidRPr="003F0DDD">
              <w:rPr>
                <w:sz w:val="18"/>
                <w:szCs w:val="18"/>
                <w:lang w:val="en-US"/>
              </w:rPr>
              <w:t xml:space="preserve"> the primary surgery</w:t>
            </w:r>
            <w:r>
              <w:rPr>
                <w:sz w:val="18"/>
                <w:szCs w:val="18"/>
                <w:lang w:val="en-US"/>
              </w:rPr>
              <w:t>:</w:t>
            </w:r>
          </w:p>
          <w:p w:rsidR="00B6570C" w:rsidRPr="005714B0" w:rsidRDefault="00B6570C" w:rsidP="00675BC1">
            <w:pPr>
              <w:pStyle w:val="ListParagraph"/>
              <w:spacing w:line="240" w:lineRule="auto"/>
              <w:rPr>
                <w:sz w:val="18"/>
                <w:szCs w:val="18"/>
                <w:lang w:val="en-US"/>
              </w:rPr>
            </w:pPr>
          </w:p>
        </w:tc>
        <w:tc>
          <w:tcPr>
            <w:tcW w:w="5245" w:type="dxa"/>
          </w:tcPr>
          <w:p w:rsidR="00B6570C" w:rsidRPr="003F0DDD" w:rsidRDefault="00B6570C" w:rsidP="00675BC1">
            <w:pPr>
              <w:spacing w:line="240" w:lineRule="auto"/>
              <w:rPr>
                <w:sz w:val="18"/>
                <w:szCs w:val="18"/>
                <w:lang w:val="en-US"/>
              </w:rPr>
            </w:pPr>
            <w:r>
              <w:rPr>
                <w:sz w:val="18"/>
                <w:szCs w:val="18"/>
                <w:lang w:val="en-US"/>
              </w:rPr>
              <w:t xml:space="preserve">Once a patient received a surgery </w:t>
            </w:r>
            <w:r w:rsidRPr="003F0DDD">
              <w:rPr>
                <w:sz w:val="18"/>
                <w:szCs w:val="18"/>
                <w:lang w:val="en-US"/>
              </w:rPr>
              <w:t>due to infections or bleeding the treatment was stated to have failed to meet the clinical outcome indicator.</w:t>
            </w:r>
          </w:p>
        </w:tc>
      </w:tr>
      <w:tr w:rsidR="00B6570C" w:rsidRPr="00AA2531" w:rsidTr="00675BC1">
        <w:tc>
          <w:tcPr>
            <w:tcW w:w="2684" w:type="dxa"/>
            <w:vMerge/>
          </w:tcPr>
          <w:p w:rsidR="00B6570C" w:rsidRPr="003F0DDD" w:rsidRDefault="00B6570C" w:rsidP="00675BC1">
            <w:pPr>
              <w:spacing w:line="240" w:lineRule="auto"/>
              <w:rPr>
                <w:sz w:val="18"/>
                <w:szCs w:val="18"/>
                <w:lang w:val="en-US"/>
              </w:rPr>
            </w:pPr>
          </w:p>
        </w:tc>
        <w:tc>
          <w:tcPr>
            <w:tcW w:w="1123" w:type="dxa"/>
          </w:tcPr>
          <w:p w:rsidR="00B6570C" w:rsidRPr="003F0DDD" w:rsidRDefault="00B6570C" w:rsidP="00675BC1">
            <w:pPr>
              <w:spacing w:line="240" w:lineRule="auto"/>
              <w:rPr>
                <w:sz w:val="18"/>
                <w:szCs w:val="18"/>
                <w:lang w:val="en-US"/>
              </w:rPr>
            </w:pPr>
            <w:r w:rsidRPr="003F0DDD">
              <w:rPr>
                <w:sz w:val="18"/>
                <w:szCs w:val="18"/>
                <w:lang w:val="en-US"/>
              </w:rPr>
              <w:t>Surgical Margins</w:t>
            </w:r>
          </w:p>
        </w:tc>
        <w:tc>
          <w:tcPr>
            <w:tcW w:w="6967" w:type="dxa"/>
          </w:tcPr>
          <w:p w:rsidR="00B6570C" w:rsidRPr="003F0DDD" w:rsidRDefault="00B6570C" w:rsidP="00675BC1">
            <w:pPr>
              <w:spacing w:line="240" w:lineRule="auto"/>
              <w:rPr>
                <w:sz w:val="18"/>
                <w:szCs w:val="18"/>
                <w:lang w:val="en-US"/>
              </w:rPr>
            </w:pPr>
            <w:r w:rsidRPr="003F0DDD">
              <w:rPr>
                <w:sz w:val="18"/>
                <w:szCs w:val="18"/>
                <w:lang w:val="en-US"/>
              </w:rPr>
              <w:t xml:space="preserve">All patients who received surgery (lumpectomy or mastectomy) due to close or positive margins </w:t>
            </w:r>
          </w:p>
        </w:tc>
        <w:tc>
          <w:tcPr>
            <w:tcW w:w="5245" w:type="dxa"/>
          </w:tcPr>
          <w:p w:rsidR="00B6570C" w:rsidRPr="003F0DDD" w:rsidRDefault="00B6570C" w:rsidP="00675BC1">
            <w:pPr>
              <w:spacing w:line="240" w:lineRule="auto"/>
              <w:rPr>
                <w:sz w:val="18"/>
                <w:szCs w:val="18"/>
                <w:lang w:val="en-US"/>
              </w:rPr>
            </w:pPr>
            <w:r w:rsidRPr="003F0DDD">
              <w:rPr>
                <w:sz w:val="18"/>
                <w:szCs w:val="18"/>
                <w:lang w:val="en-US"/>
              </w:rPr>
              <w:t>Once a patient did receive surgery the treatment the treatment was stated to have failed to meet the clinical outcome indicator. If margins did not need a further surgery the clinical outcome indicator was considered to be successfully passed.</w:t>
            </w:r>
          </w:p>
        </w:tc>
      </w:tr>
      <w:tr w:rsidR="00B6570C" w:rsidRPr="00AA2531" w:rsidTr="00675BC1">
        <w:tc>
          <w:tcPr>
            <w:tcW w:w="2684" w:type="dxa"/>
            <w:vMerge/>
          </w:tcPr>
          <w:p w:rsidR="00B6570C" w:rsidRPr="003F0DDD" w:rsidRDefault="00B6570C" w:rsidP="00675BC1">
            <w:pPr>
              <w:spacing w:line="240" w:lineRule="auto"/>
              <w:rPr>
                <w:sz w:val="18"/>
                <w:szCs w:val="18"/>
                <w:lang w:val="en-US"/>
              </w:rPr>
            </w:pPr>
          </w:p>
        </w:tc>
        <w:tc>
          <w:tcPr>
            <w:tcW w:w="1123" w:type="dxa"/>
          </w:tcPr>
          <w:p w:rsidR="00B6570C" w:rsidRPr="003F0DDD" w:rsidRDefault="00B6570C" w:rsidP="00675BC1">
            <w:pPr>
              <w:spacing w:line="240" w:lineRule="auto"/>
              <w:rPr>
                <w:sz w:val="18"/>
                <w:szCs w:val="18"/>
                <w:lang w:val="en-US"/>
              </w:rPr>
            </w:pPr>
            <w:r w:rsidRPr="003F0DDD">
              <w:rPr>
                <w:sz w:val="18"/>
                <w:szCs w:val="18"/>
                <w:lang w:val="en-US"/>
              </w:rPr>
              <w:t>Recurrence</w:t>
            </w:r>
          </w:p>
        </w:tc>
        <w:tc>
          <w:tcPr>
            <w:tcW w:w="6967" w:type="dxa"/>
          </w:tcPr>
          <w:p w:rsidR="00B6570C" w:rsidRPr="003F0DDD" w:rsidRDefault="00B6570C" w:rsidP="00675BC1">
            <w:pPr>
              <w:spacing w:line="240" w:lineRule="auto"/>
              <w:rPr>
                <w:sz w:val="18"/>
                <w:szCs w:val="18"/>
                <w:lang w:val="en-US"/>
              </w:rPr>
            </w:pPr>
            <w:r w:rsidRPr="003F0DDD">
              <w:rPr>
                <w:sz w:val="18"/>
                <w:szCs w:val="18"/>
                <w:lang w:val="en-US"/>
              </w:rPr>
              <w:t xml:space="preserve">All who had a recurrence of the primary tumor. It was considered all these patients did receive surgery (either an mastectomy or mastectomy). </w:t>
            </w:r>
          </w:p>
        </w:tc>
        <w:tc>
          <w:tcPr>
            <w:tcW w:w="5245" w:type="dxa"/>
          </w:tcPr>
          <w:p w:rsidR="00B6570C" w:rsidRPr="003F0DDD" w:rsidRDefault="00B6570C" w:rsidP="00675BC1">
            <w:pPr>
              <w:spacing w:line="240" w:lineRule="auto"/>
              <w:rPr>
                <w:sz w:val="18"/>
                <w:szCs w:val="18"/>
                <w:lang w:val="en-US"/>
              </w:rPr>
            </w:pPr>
            <w:r w:rsidRPr="003F0DDD">
              <w:rPr>
                <w:sz w:val="18"/>
                <w:szCs w:val="18"/>
                <w:lang w:val="en-US"/>
              </w:rPr>
              <w:t>Once the patient received surgery to treat the recurrence the treatment the treatment was stated to have failed to meet the clinical outcome indicator.</w:t>
            </w:r>
          </w:p>
        </w:tc>
      </w:tr>
    </w:tbl>
    <w:p w:rsidR="00B6570C" w:rsidRPr="003F0DDD" w:rsidRDefault="00B6570C" w:rsidP="00B6570C">
      <w:pPr>
        <w:autoSpaceDE w:val="0"/>
        <w:autoSpaceDN w:val="0"/>
        <w:adjustRightInd w:val="0"/>
        <w:spacing w:after="0" w:line="240" w:lineRule="auto"/>
        <w:rPr>
          <w:sz w:val="20"/>
          <w:szCs w:val="20"/>
          <w:lang w:val="en-US"/>
        </w:rPr>
      </w:pPr>
    </w:p>
    <w:p w:rsidR="001760E5" w:rsidRDefault="00B6570C">
      <w:bookmarkStart w:id="0" w:name="_GoBack"/>
      <w:bookmarkEnd w:id="0"/>
    </w:p>
    <w:sectPr w:rsidR="001760E5" w:rsidSect="00B2221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0A74"/>
    <w:multiLevelType w:val="hybridMultilevel"/>
    <w:tmpl w:val="DC101068"/>
    <w:lvl w:ilvl="0" w:tplc="C6984810">
      <w:numFmt w:val="bullet"/>
      <w:lvlText w:val="-"/>
      <w:lvlJc w:val="left"/>
      <w:pPr>
        <w:ind w:left="720" w:hanging="360"/>
      </w:pPr>
      <w:rPr>
        <w:rFonts w:ascii="Calibri" w:eastAsiaTheme="minorHAnsi" w:hAnsi="Calibri" w:cstheme="minorBidi" w:hint="default"/>
        <w:color w:val="2021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4467AE"/>
    <w:multiLevelType w:val="hybridMultilevel"/>
    <w:tmpl w:val="56B26232"/>
    <w:lvl w:ilvl="0" w:tplc="D5A6F242">
      <w:numFmt w:val="bullet"/>
      <w:lvlText w:val="-"/>
      <w:lvlJc w:val="left"/>
      <w:pPr>
        <w:ind w:left="720" w:hanging="360"/>
      </w:pPr>
      <w:rPr>
        <w:rFonts w:ascii="Consolas" w:eastAsiaTheme="minorHAnsi" w:hAnsi="Consolas" w:cs="Consola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430B40"/>
    <w:multiLevelType w:val="hybridMultilevel"/>
    <w:tmpl w:val="AEB01AD0"/>
    <w:lvl w:ilvl="0" w:tplc="74182E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70C"/>
    <w:rsid w:val="008A3324"/>
    <w:rsid w:val="00996CDB"/>
    <w:rsid w:val="00B6570C"/>
    <w:rsid w:val="00BA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407BC4-742E-48A3-A84C-4C5ED8FB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70C"/>
    <w:pPr>
      <w:spacing w:line="256" w:lineRule="auto"/>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70C"/>
    <w:pPr>
      <w:ind w:left="720"/>
      <w:contextualSpacing/>
    </w:pPr>
  </w:style>
  <w:style w:type="table" w:styleId="TableGridLight">
    <w:name w:val="Grid Table Light"/>
    <w:basedOn w:val="TableNormal"/>
    <w:uiPriority w:val="40"/>
    <w:rsid w:val="00B6570C"/>
    <w:pPr>
      <w:spacing w:after="0" w:line="240" w:lineRule="auto"/>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y2iqfc">
    <w:name w:val="y2iqfc"/>
    <w:basedOn w:val="DefaultParagraphFont"/>
    <w:rsid w:val="00B65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xt.reverso.net/vertaling/engels-nederlands/intussusception" TargetMode="External"/><Relationship Id="rId5" Type="http://schemas.openxmlformats.org/officeDocument/2006/relationships/hyperlink" Target="https://context.reverso.net/vertaling/engels-nederlands/intussuscep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2022-09-23T11:06:00Z</dcterms:created>
  <dcterms:modified xsi:type="dcterms:W3CDTF">2022-09-23T11:06:00Z</dcterms:modified>
</cp:coreProperties>
</file>