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</w:rPr>
        <w:t xml:space="preserve">. </w:t>
      </w:r>
      <w:r>
        <w:rPr>
          <w:rFonts w:hint="default" w:ascii="Times New Roman" w:hAnsi="Times New Roman" w:cs="Times New Roman"/>
        </w:rPr>
        <w:t>Risk of Bias Assessment: Based on the Newcastle-Ottawa Scale</w:t>
      </w:r>
      <w:bookmarkStart w:id="0" w:name="_GoBack"/>
      <w:bookmarkEnd w:id="0"/>
      <w:r>
        <w:rPr>
          <w:rFonts w:hint="default" w:ascii="Times New Roman" w:hAnsi="Times New Roman" w:cs="Times New Roman"/>
        </w:rPr>
        <w:t xml:space="preserve"> </w:t>
      </w:r>
    </w:p>
    <w:tbl>
      <w:tblPr>
        <w:tblStyle w:val="3"/>
        <w:tblpPr w:leftFromText="180" w:rightFromText="180" w:vertAnchor="text" w:horzAnchor="page" w:tblpX="1285" w:tblpY="36"/>
        <w:tblOverlap w:val="never"/>
        <w:tblW w:w="103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960"/>
        <w:gridCol w:w="992"/>
        <w:gridCol w:w="792"/>
        <w:gridCol w:w="888"/>
        <w:gridCol w:w="1104"/>
        <w:gridCol w:w="984"/>
        <w:gridCol w:w="1360"/>
        <w:gridCol w:w="1112"/>
        <w:gridCol w:w="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" w:type="dxa"/>
            <w:vMerge w:val="restart"/>
          </w:tcPr>
          <w:p>
            <w:pPr>
              <w:rPr>
                <w:rFonts w:hint="default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Study</w:t>
            </w:r>
          </w:p>
        </w:tc>
        <w:tc>
          <w:tcPr>
            <w:tcW w:w="3632" w:type="dxa"/>
            <w:gridSpan w:val="4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Selection</w:t>
            </w:r>
          </w:p>
        </w:tc>
        <w:tc>
          <w:tcPr>
            <w:tcW w:w="1104" w:type="dxa"/>
            <w:vMerge w:val="restart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Comparability Control for improtant factor</w:t>
            </w:r>
          </w:p>
        </w:tc>
        <w:tc>
          <w:tcPr>
            <w:tcW w:w="3456" w:type="dxa"/>
            <w:gridSpan w:val="3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Exposure</w:t>
            </w:r>
          </w:p>
        </w:tc>
        <w:tc>
          <w:tcPr>
            <w:tcW w:w="656" w:type="dxa"/>
            <w:vMerge w:val="restart"/>
          </w:tcPr>
          <w:p>
            <w:pPr>
              <w:rPr>
                <w:rFonts w:hint="default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Scores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" w:type="dxa"/>
            <w:vMerge w:val="continue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60" w:type="dxa"/>
          </w:tcPr>
          <w:p>
            <w:pPr>
              <w:rPr>
                <w:rFonts w:hint="default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 xml:space="preserve">Adequate definition of cases </w:t>
            </w:r>
          </w:p>
        </w:tc>
        <w:tc>
          <w:tcPr>
            <w:tcW w:w="992" w:type="dxa"/>
          </w:tcPr>
          <w:p>
            <w:pP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Representat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-</w:t>
            </w:r>
          </w:p>
          <w:p>
            <w:pPr>
              <w:rPr>
                <w:rFonts w:hint="default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iveness of the cases</w:t>
            </w:r>
          </w:p>
        </w:tc>
        <w:tc>
          <w:tcPr>
            <w:tcW w:w="792" w:type="dxa"/>
          </w:tcPr>
          <w:p>
            <w:pPr>
              <w:rPr>
                <w:rFonts w:hint="default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Selection of controls</w:t>
            </w:r>
          </w:p>
        </w:tc>
        <w:tc>
          <w:tcPr>
            <w:tcW w:w="888" w:type="dxa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Definition of controls</w:t>
            </w:r>
          </w:p>
        </w:tc>
        <w:tc>
          <w:tcPr>
            <w:tcW w:w="1104" w:type="dxa"/>
            <w:vMerge w:val="continue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  <w:tc>
          <w:tcPr>
            <w:tcW w:w="984" w:type="dxa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Ascertain-</w:t>
            </w:r>
          </w:p>
          <w:p>
            <w:pPr>
              <w:rPr>
                <w:rFonts w:hint="default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ment of exposure</w:t>
            </w:r>
          </w:p>
        </w:tc>
        <w:tc>
          <w:tcPr>
            <w:tcW w:w="1360" w:type="dxa"/>
          </w:tcPr>
          <w:p>
            <w:pPr>
              <w:rPr>
                <w:rFonts w:hint="default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Same method of ascertain</w:t>
            </w: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ent for cases and controls</w:t>
            </w:r>
          </w:p>
        </w:tc>
        <w:tc>
          <w:tcPr>
            <w:tcW w:w="1112" w:type="dxa"/>
          </w:tcPr>
          <w:p>
            <w:pPr>
              <w:rPr>
                <w:rFonts w:hint="default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Non-response rate</w:t>
            </w:r>
          </w:p>
        </w:tc>
        <w:tc>
          <w:tcPr>
            <w:tcW w:w="656" w:type="dxa"/>
            <w:vMerge w:val="continue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" w:type="dxa"/>
          </w:tcPr>
          <w:p>
            <w:pPr>
              <w:rPr>
                <w:rFonts w:hint="default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Chen 2021</w:t>
            </w:r>
          </w:p>
        </w:tc>
        <w:tc>
          <w:tcPr>
            <w:tcW w:w="960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792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888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1104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0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1360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1112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65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" w:type="dxa"/>
          </w:tcPr>
          <w:p>
            <w:pPr>
              <w:rPr>
                <w:rFonts w:hint="default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Chen 2022*</w:t>
            </w:r>
          </w:p>
        </w:tc>
        <w:tc>
          <w:tcPr>
            <w:tcW w:w="960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792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888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1104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1360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1112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65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" w:type="dxa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Hamai 2021</w:t>
            </w:r>
          </w:p>
        </w:tc>
        <w:tc>
          <w:tcPr>
            <w:tcW w:w="960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792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888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1104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0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1360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1112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656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" w:type="dxa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Merritt 2021*</w:t>
            </w:r>
          </w:p>
        </w:tc>
        <w:tc>
          <w:tcPr>
            <w:tcW w:w="960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792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888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1104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1360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1112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65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" w:type="dxa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Tang 2018</w:t>
            </w:r>
          </w:p>
        </w:tc>
        <w:tc>
          <w:tcPr>
            <w:tcW w:w="960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792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888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1104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0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1360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1112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656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3" w:type="dxa"/>
          </w:tcPr>
          <w:p>
            <w:pP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Tapias 2016</w:t>
            </w:r>
          </w:p>
        </w:tc>
        <w:tc>
          <w:tcPr>
            <w:tcW w:w="960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792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888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1104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0</w:t>
            </w:r>
          </w:p>
        </w:tc>
        <w:tc>
          <w:tcPr>
            <w:tcW w:w="984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1360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1112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</w:t>
            </w:r>
          </w:p>
        </w:tc>
        <w:tc>
          <w:tcPr>
            <w:tcW w:w="65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7</w:t>
            </w:r>
          </w:p>
        </w:tc>
      </w:tr>
    </w:tbl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*The data is based on propensity score matching. </w:t>
      </w: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>Supplementary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Figure 1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Detailed flowchart of inclusion and exclusion criteria for the literature search</w:t>
      </w:r>
    </w:p>
    <w:p>
      <w:pPr>
        <w:rPr>
          <w:rFonts w:hint="default" w:ascii="Times New Roman" w:hAnsi="Times New Roman" w:cs="Times New Roman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5267325" cy="3259455"/>
            <wp:effectExtent l="0" t="0" r="3175" b="4445"/>
            <wp:docPr id="2" name="图片 2" descr="FIG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5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 w:eastAsiaTheme="minorEastAsia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S</w:t>
      </w:r>
      <w:r>
        <w:rPr>
          <w:rFonts w:hint="default" w:ascii="Times New Roman" w:hAnsi="Times New Roman" w:cs="Times New Roman"/>
        </w:rPr>
        <w:t xml:space="preserve">ensitivity analyses </w:t>
      </w:r>
      <w:r>
        <w:rPr>
          <w:rFonts w:hint="eastAsia" w:ascii="Times New Roman" w:hAnsi="Times New Roman" w:cs="Times New Roman"/>
          <w:lang w:val="en-US" w:eastAsia="zh-CN"/>
        </w:rPr>
        <w:t xml:space="preserve">of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intraoperative blood loss (a), </w:t>
      </w:r>
      <w:r>
        <w:rPr>
          <w:rFonts w:hint="eastAsia" w:ascii="Times New Roman" w:hAnsi="Times New Roman" w:cs="Times New Roman"/>
          <w:lang w:val="en-US" w:eastAsia="zh-CN"/>
        </w:rPr>
        <w:t>operative time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(b)</w:t>
      </w:r>
      <w:r>
        <w:rPr>
          <w:rFonts w:hint="eastAsia" w:ascii="Times New Roman" w:hAnsi="Times New Roman" w:cs="Times New Roman"/>
          <w:lang w:val="en-US" w:eastAsia="zh-CN"/>
        </w:rPr>
        <w:t>, and number of lymph node dissection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(c)</w:t>
      </w:r>
    </w:p>
    <w:p>
      <w:pPr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(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a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)</w:t>
      </w:r>
      <w:r>
        <w:rPr>
          <w:rFonts w:hint="default" w:ascii="Times New Roman" w:hAnsi="Times New Roman" w:cs="Times New Roman"/>
          <w:b/>
          <w:bCs/>
        </w:rPr>
        <w:t xml:space="preserve"> </w:t>
      </w:r>
    </w:p>
    <w:p>
      <w:pPr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lang w:eastAsia="zh-CN"/>
        </w:rPr>
        <w:drawing>
          <wp:inline distT="0" distB="0" distL="114300" distR="114300">
            <wp:extent cx="4405630" cy="864235"/>
            <wp:effectExtent l="0" t="0" r="1270" b="12065"/>
            <wp:docPr id="13" name="图片 13" descr="失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失血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05630" cy="8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44450</wp:posOffset>
            </wp:positionV>
            <wp:extent cx="3165475" cy="1522730"/>
            <wp:effectExtent l="0" t="0" r="9525" b="1270"/>
            <wp:wrapSquare wrapText="bothSides"/>
            <wp:docPr id="14" name="图片 14" descr="失血敏感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失血敏感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5475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2540000" cy="1521460"/>
            <wp:effectExtent l="0" t="0" r="0" b="2540"/>
            <wp:docPr id="15" name="图片 15" descr="失血敏感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失血敏感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(b)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4398010" cy="970915"/>
            <wp:effectExtent l="0" t="0" r="8890" b="6985"/>
            <wp:docPr id="9" name="图片 9" descr="手术时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手术时间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8010" cy="97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67945</wp:posOffset>
            </wp:positionH>
            <wp:positionV relativeFrom="paragraph">
              <wp:posOffset>39370</wp:posOffset>
            </wp:positionV>
            <wp:extent cx="3148965" cy="1464310"/>
            <wp:effectExtent l="0" t="0" r="635" b="8890"/>
            <wp:wrapSquare wrapText="bothSides"/>
            <wp:docPr id="7" name="图片 7" descr="手术时间敏感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手术时间敏感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48965" cy="146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2545715" cy="1495425"/>
            <wp:effectExtent l="0" t="0" r="6985" b="3175"/>
            <wp:docPr id="8" name="图片 8" descr="手术时间敏感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手术时间敏感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571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(c)</w:t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4455795" cy="966470"/>
            <wp:effectExtent l="0" t="0" r="1905" b="11430"/>
            <wp:docPr id="10" name="图片 10" descr="淋巴结数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淋巴结数量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55795" cy="96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44450</wp:posOffset>
            </wp:positionV>
            <wp:extent cx="3185795" cy="1537335"/>
            <wp:effectExtent l="0" t="0" r="1905" b="12065"/>
            <wp:wrapSquare wrapText="bothSides"/>
            <wp:docPr id="11" name="图片 11" descr="淋巴结数量敏感性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淋巴结数量敏感性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2556510" cy="1535430"/>
            <wp:effectExtent l="0" t="0" r="8890" b="1270"/>
            <wp:docPr id="12" name="图片 12" descr="淋巴结数量敏感性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淋巴结数量敏感性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56510" cy="153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Sensitivity analysis of anastomotic </w:t>
      </w:r>
      <w:r>
        <w:rPr>
          <w:rFonts w:hint="default" w:ascii="Times New Roman" w:hAnsi="Times New Roman" w:cs="Times New Roman"/>
          <w:lang w:val="en-US" w:eastAsia="zh-CN"/>
        </w:rPr>
        <w:t>leakage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4321810" cy="1179195"/>
            <wp:effectExtent l="0" t="0" r="8890" b="1905"/>
            <wp:docPr id="17" name="图片 17" descr="瘘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瘘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21810" cy="117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86360</wp:posOffset>
            </wp:positionV>
            <wp:extent cx="3064510" cy="1838325"/>
            <wp:effectExtent l="0" t="0" r="8890" b="3175"/>
            <wp:wrapSquare wrapText="bothSides"/>
            <wp:docPr id="18" name="图片 18" descr="瘘敏感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瘘敏感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6451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2762885" cy="1794510"/>
            <wp:effectExtent l="0" t="0" r="5715" b="8890"/>
            <wp:docPr id="19" name="图片 19" descr="瘘敏感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瘘敏感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62885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4 </w:t>
      </w:r>
      <w:r>
        <w:rPr>
          <w:rFonts w:hint="eastAsia" w:ascii="Times New Roman" w:hAnsi="Times New Roman" w:cs="Times New Roman"/>
          <w:lang w:val="en-US" w:eastAsia="zh-CN"/>
        </w:rPr>
        <w:t>E</w:t>
      </w:r>
      <w:r>
        <w:rPr>
          <w:rFonts w:hint="default" w:ascii="Times New Roman" w:hAnsi="Times New Roman" w:cs="Times New Roman"/>
          <w:lang w:val="en-US" w:eastAsia="zh-CN"/>
        </w:rPr>
        <w:t>gger's funnel plot</w:t>
      </w:r>
      <w:r>
        <w:rPr>
          <w:rFonts w:hint="eastAsia" w:ascii="Times New Roman" w:hAnsi="Times New Roman" w:cs="Times New Roman"/>
          <w:lang w:val="en-US" w:eastAsia="zh-CN"/>
        </w:rPr>
        <w:t xml:space="preserve"> of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overall survival</w:t>
      </w:r>
    </w:p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3946525" cy="2832100"/>
            <wp:effectExtent l="0" t="0" r="3175" b="0"/>
            <wp:docPr id="1" name="图片 1" descr="OS-P=0.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OS-P=0.64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46525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yMTc5MmVhODU2Y2JiMmYyYjFiNjQ1ZjVlNGNlODQifQ=="/>
  </w:docVars>
  <w:rsids>
    <w:rsidRoot w:val="00000000"/>
    <w:rsid w:val="02CE766E"/>
    <w:rsid w:val="0954693A"/>
    <w:rsid w:val="26D70176"/>
    <w:rsid w:val="29DB34E7"/>
    <w:rsid w:val="2A345944"/>
    <w:rsid w:val="2DB77163"/>
    <w:rsid w:val="3AA824AA"/>
    <w:rsid w:val="3DB84316"/>
    <w:rsid w:val="3FF01B8F"/>
    <w:rsid w:val="47345F5E"/>
    <w:rsid w:val="49113F2D"/>
    <w:rsid w:val="506A1DC7"/>
    <w:rsid w:val="52476A3F"/>
    <w:rsid w:val="5903310E"/>
    <w:rsid w:val="65CE0E46"/>
    <w:rsid w:val="7758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178</Words>
  <Characters>804</Characters>
  <Lines>0</Lines>
  <Paragraphs>0</Paragraphs>
  <TotalTime>0</TotalTime>
  <ScaleCrop>false</ScaleCrop>
  <LinksUpToDate>false</LinksUpToDate>
  <CharactersWithSpaces>903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2021-11-09T14:21:00Z</dcterms:created>
  <dc:creator>sjf520</dc:creator>
  <cp:lastModifiedBy>sjf520</cp:lastModifiedBy>
  <dcterms:modified xsi:type="dcterms:W3CDTF">2022-07-26T05:47:26Z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F1D618B930E64D2EB973392D6B022933</vt:lpwstr>
  </property>
</Properties>
</file>