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0D9FC" w14:textId="77777777" w:rsidR="007223B2" w:rsidRPr="005031ED" w:rsidRDefault="007223B2" w:rsidP="007223B2">
      <w:pPr>
        <w:spacing w:line="480" w:lineRule="auto"/>
        <w:jc w:val="both"/>
        <w:rPr>
          <w:rFonts w:ascii="Calibri" w:eastAsiaTheme="minorEastAsia" w:hAnsi="Calibri" w:cs="Calibri"/>
          <w:b/>
          <w:bCs/>
          <w:color w:val="000000" w:themeColor="text1"/>
        </w:rPr>
      </w:pPr>
      <w:r w:rsidRPr="005031ED">
        <w:rPr>
          <w:rFonts w:ascii="Calibri" w:eastAsiaTheme="minorEastAsia" w:hAnsi="Calibri" w:cs="Calibri"/>
          <w:b/>
          <w:bCs/>
          <w:color w:val="000000" w:themeColor="text1"/>
        </w:rPr>
        <w:t>Supplementary material:</w:t>
      </w:r>
    </w:p>
    <w:p w14:paraId="0307863F"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52B5CF5D"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b/>
          <w:bCs/>
          <w:color w:val="000000" w:themeColor="text1"/>
        </w:rPr>
        <w:t>SM1. Study hypotheses</w:t>
      </w:r>
    </w:p>
    <w:p w14:paraId="23E110A2" w14:textId="77777777" w:rsidR="007223B2" w:rsidRPr="005031ED" w:rsidRDefault="007223B2" w:rsidP="007223B2">
      <w:pPr>
        <w:spacing w:line="480" w:lineRule="auto"/>
        <w:jc w:val="both"/>
        <w:rPr>
          <w:rFonts w:ascii="Calibri" w:eastAsiaTheme="majorEastAsia" w:hAnsi="Calibri" w:cs="Calibri"/>
          <w:color w:val="000000" w:themeColor="text1"/>
        </w:rPr>
      </w:pPr>
      <w:r w:rsidRPr="005031ED">
        <w:rPr>
          <w:rFonts w:ascii="Calibri" w:eastAsiaTheme="majorEastAsia" w:hAnsi="Calibri" w:cs="Calibri"/>
          <w:color w:val="000000" w:themeColor="text1"/>
        </w:rPr>
        <w:t>It was expected that a negative POCT result would increase the inclination to stop antibiotics (</w:t>
      </w:r>
      <w:r w:rsidRPr="005031ED">
        <w:rPr>
          <w:rFonts w:ascii="Calibri" w:eastAsiaTheme="majorEastAsia" w:hAnsi="Calibri" w:cs="Calibri"/>
          <w:i/>
          <w:iCs/>
          <w:color w:val="000000" w:themeColor="text1"/>
        </w:rPr>
        <w:t>hypothesis 1</w:t>
      </w:r>
      <w:r w:rsidRPr="005031ED">
        <w:rPr>
          <w:rFonts w:ascii="Calibri" w:eastAsiaTheme="majorEastAsia" w:hAnsi="Calibri" w:cs="Calibri"/>
          <w:color w:val="000000" w:themeColor="text1"/>
        </w:rPr>
        <w:t xml:space="preserve">), but that the following clinical and cognitive-behavioural factors would reduce it:  </w:t>
      </w:r>
      <w:r w:rsidRPr="005031ED">
        <w:rPr>
          <w:rFonts w:ascii="Calibri" w:hAnsi="Calibri" w:cs="Calibri"/>
        </w:rPr>
        <w:br/>
      </w:r>
    </w:p>
    <w:p w14:paraId="0C47EC46" w14:textId="77777777" w:rsidR="007223B2" w:rsidRPr="005031ED" w:rsidRDefault="007223B2" w:rsidP="007223B2">
      <w:pPr>
        <w:pStyle w:val="ListParagraph"/>
        <w:numPr>
          <w:ilvl w:val="0"/>
          <w:numId w:val="3"/>
        </w:num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The patient’s </w:t>
      </w:r>
      <w:proofErr w:type="spellStart"/>
      <w:r w:rsidRPr="005031ED">
        <w:rPr>
          <w:rFonts w:ascii="Calibri" w:eastAsiaTheme="majorEastAsia" w:hAnsi="Calibri" w:cs="Calibri"/>
          <w:color w:val="000000" w:themeColor="text1"/>
        </w:rPr>
        <w:t>clinico</w:t>
      </w:r>
      <w:proofErr w:type="spellEnd"/>
      <w:r w:rsidRPr="005031ED">
        <w:rPr>
          <w:rFonts w:ascii="Calibri" w:eastAsiaTheme="majorEastAsia" w:hAnsi="Calibri" w:cs="Calibri"/>
          <w:color w:val="000000" w:themeColor="text1"/>
        </w:rPr>
        <w:t xml:space="preserve">-biological trajectory: we hypothesised that clinicians would be less willing to stop antibiotics if the patient’s </w:t>
      </w:r>
      <w:proofErr w:type="spellStart"/>
      <w:r w:rsidRPr="005031ED">
        <w:rPr>
          <w:rFonts w:ascii="Calibri" w:eastAsiaTheme="majorEastAsia" w:hAnsi="Calibri" w:cs="Calibri"/>
          <w:color w:val="000000" w:themeColor="text1"/>
        </w:rPr>
        <w:t>clinico</w:t>
      </w:r>
      <w:proofErr w:type="spellEnd"/>
      <w:r w:rsidRPr="005031ED">
        <w:rPr>
          <w:rFonts w:ascii="Calibri" w:eastAsiaTheme="majorEastAsia" w:hAnsi="Calibri" w:cs="Calibri"/>
          <w:color w:val="000000" w:themeColor="text1"/>
        </w:rPr>
        <w:t>-biological trajectory was ambiguous or worsening (vs. improving), irrespective of a negative POCT (</w:t>
      </w:r>
      <w:r w:rsidRPr="005031ED">
        <w:rPr>
          <w:rFonts w:ascii="Calibri" w:eastAsiaTheme="majorEastAsia" w:hAnsi="Calibri" w:cs="Calibri"/>
          <w:i/>
          <w:iCs/>
          <w:color w:val="000000" w:themeColor="text1"/>
        </w:rPr>
        <w:t>hypothesis 2</w:t>
      </w:r>
      <w:proofErr w:type="gramStart"/>
      <w:r w:rsidRPr="005031ED">
        <w:rPr>
          <w:rFonts w:ascii="Calibri" w:eastAsiaTheme="majorEastAsia" w:hAnsi="Calibri" w:cs="Calibri"/>
          <w:color w:val="000000" w:themeColor="text1"/>
        </w:rPr>
        <w:t>);</w:t>
      </w:r>
      <w:proofErr w:type="gramEnd"/>
      <w:r w:rsidRPr="005031ED">
        <w:rPr>
          <w:rFonts w:ascii="Calibri" w:eastAsiaTheme="majorEastAsia" w:hAnsi="Calibri" w:cs="Calibri"/>
          <w:color w:val="000000" w:themeColor="text1"/>
        </w:rPr>
        <w:t xml:space="preserve">  </w:t>
      </w:r>
    </w:p>
    <w:p w14:paraId="3E3FEF9A" w14:textId="77777777" w:rsidR="007223B2" w:rsidRPr="005031ED" w:rsidRDefault="007223B2" w:rsidP="007223B2">
      <w:pPr>
        <w:pStyle w:val="ListParagraph"/>
        <w:numPr>
          <w:ilvl w:val="0"/>
          <w:numId w:val="3"/>
        </w:num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The clinician’s initial (pre-POCT) inclination to </w:t>
      </w:r>
      <w:proofErr w:type="gramStart"/>
      <w:r w:rsidRPr="005031ED">
        <w:rPr>
          <w:rFonts w:ascii="Calibri" w:eastAsiaTheme="majorEastAsia" w:hAnsi="Calibri" w:cs="Calibri"/>
          <w:color w:val="000000" w:themeColor="text1"/>
        </w:rPr>
        <w:t>stop:</w:t>
      </w:r>
      <w:proofErr w:type="gramEnd"/>
      <w:r w:rsidRPr="005031ED">
        <w:rPr>
          <w:rFonts w:ascii="Calibri" w:eastAsiaTheme="majorEastAsia" w:hAnsi="Calibri" w:cs="Calibri"/>
          <w:color w:val="000000" w:themeColor="text1"/>
        </w:rPr>
        <w:t xml:space="preserve"> there is evidence to suggest that “first impressions last”; that is, initial leanings can determine final decisions [21]. Therefore, we expected that clinicians’ early intuitions about stopping antibiotics (prior to availability of POCT) would strongly determine their final decision about stopping antibiotics (following receipt of POCT results; </w:t>
      </w:r>
      <w:r w:rsidRPr="005031ED">
        <w:rPr>
          <w:rFonts w:ascii="Calibri" w:eastAsiaTheme="majorEastAsia" w:hAnsi="Calibri" w:cs="Calibri"/>
          <w:i/>
          <w:iCs/>
          <w:color w:val="000000" w:themeColor="text1"/>
        </w:rPr>
        <w:t>hypothesis 3</w:t>
      </w:r>
      <w:r w:rsidRPr="005031ED">
        <w:rPr>
          <w:rFonts w:ascii="Calibri" w:eastAsiaTheme="majorEastAsia" w:hAnsi="Calibri" w:cs="Calibri"/>
          <w:color w:val="000000" w:themeColor="text1"/>
        </w:rPr>
        <w:t xml:space="preserve">). A clinician who believes strongly that antibiotics are needed might not be swayed by a negative POCT (suggesting no infection) – this has been termed “anchoring with insufficient adjustment” by Kahneman and Tversky. </w:t>
      </w:r>
    </w:p>
    <w:p w14:paraId="35D7CD4C" w14:textId="77777777" w:rsidR="007223B2" w:rsidRPr="005031ED" w:rsidRDefault="007223B2" w:rsidP="007223B2">
      <w:pPr>
        <w:pStyle w:val="ListParagraph"/>
        <w:numPr>
          <w:ilvl w:val="0"/>
          <w:numId w:val="3"/>
        </w:num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Disinterest in POCT: Prior qualitative research identified low trust in POCT as a potential cause of clinicians’ non-compliance. We therefore expect that clinicians who decline the POCT (a proxy for low trust) will be less willing to act in accord with its findings (i.e., stop antibiotics) than those who request it (</w:t>
      </w:r>
      <w:r w:rsidRPr="005031ED">
        <w:rPr>
          <w:rFonts w:ascii="Calibri" w:eastAsiaTheme="majorEastAsia" w:hAnsi="Calibri" w:cs="Calibri"/>
          <w:i/>
          <w:iCs/>
          <w:color w:val="000000" w:themeColor="text1"/>
        </w:rPr>
        <w:t>hypothesis 4</w:t>
      </w:r>
      <w:r w:rsidRPr="005031ED">
        <w:rPr>
          <w:rFonts w:ascii="Calibri" w:eastAsiaTheme="majorEastAsia" w:hAnsi="Calibri" w:cs="Calibri"/>
          <w:color w:val="000000" w:themeColor="text1"/>
        </w:rPr>
        <w:t xml:space="preserve">). </w:t>
      </w:r>
    </w:p>
    <w:p w14:paraId="32EBBB18" w14:textId="77777777" w:rsidR="007223B2" w:rsidRPr="005031ED" w:rsidRDefault="007223B2" w:rsidP="007223B2">
      <w:pPr>
        <w:spacing w:line="480" w:lineRule="auto"/>
        <w:jc w:val="both"/>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1875636F" w14:textId="77777777" w:rsidR="007223B2" w:rsidRPr="005031ED" w:rsidRDefault="007223B2" w:rsidP="007223B2">
      <w:pPr>
        <w:spacing w:line="480" w:lineRule="auto"/>
        <w:jc w:val="both"/>
        <w:rPr>
          <w:rFonts w:ascii="Calibri" w:eastAsiaTheme="majorEastAsia" w:hAnsi="Calibri" w:cs="Calibri"/>
          <w:color w:val="000000" w:themeColor="text1"/>
        </w:rPr>
      </w:pPr>
      <w:r w:rsidRPr="005031ED">
        <w:rPr>
          <w:rFonts w:ascii="Calibri" w:eastAsiaTheme="majorEastAsia" w:hAnsi="Calibri" w:cs="Calibri"/>
          <w:color w:val="000000" w:themeColor="text1"/>
        </w:rPr>
        <w:lastRenderedPageBreak/>
        <w:t>Finally, we expected more (vs. less) experienced clinicians to be more confident (in general) and therefore more willing to stop antibiotics (</w:t>
      </w:r>
      <w:r w:rsidRPr="005031ED">
        <w:rPr>
          <w:rFonts w:ascii="Calibri" w:eastAsiaTheme="majorEastAsia" w:hAnsi="Calibri" w:cs="Calibri"/>
          <w:i/>
          <w:iCs/>
          <w:color w:val="000000" w:themeColor="text1"/>
        </w:rPr>
        <w:t>hypothesis 5</w:t>
      </w:r>
      <w:r w:rsidRPr="005031ED">
        <w:rPr>
          <w:rFonts w:ascii="Calibri" w:eastAsiaTheme="majorEastAsia" w:hAnsi="Calibri" w:cs="Calibri"/>
          <w:color w:val="000000" w:themeColor="text1"/>
        </w:rPr>
        <w:t xml:space="preserve">). Moreover, a recent study investigating ICU clinicians’ antibiotic prescribing following receipt of a molecular PCR POCT result identified “protective prescribing”; that is, a strong tendency to err on the side of caution in antibiotic start- and stop- decision making [25] Based on this, we expected that individual differences in attitudes toward risk-taking (as measured by </w:t>
      </w:r>
      <w:proofErr w:type="spellStart"/>
      <w:r w:rsidRPr="005031ED">
        <w:rPr>
          <w:rFonts w:ascii="Calibri" w:eastAsiaTheme="majorEastAsia" w:hAnsi="Calibri" w:cs="Calibri"/>
          <w:color w:val="000000" w:themeColor="text1"/>
        </w:rPr>
        <w:t>Grol</w:t>
      </w:r>
      <w:proofErr w:type="spellEnd"/>
      <w:r w:rsidRPr="005031ED">
        <w:rPr>
          <w:rFonts w:ascii="Calibri" w:eastAsiaTheme="majorEastAsia" w:hAnsi="Calibri" w:cs="Calibri"/>
          <w:color w:val="000000" w:themeColor="text1"/>
        </w:rPr>
        <w:t xml:space="preserve"> et al.’s </w:t>
      </w:r>
      <w:r w:rsidRPr="005031ED">
        <w:rPr>
          <w:rFonts w:ascii="Calibri" w:eastAsiaTheme="majorEastAsia" w:hAnsi="Calibri" w:cs="Calibri"/>
          <w:i/>
          <w:iCs/>
          <w:color w:val="000000" w:themeColor="text1"/>
        </w:rPr>
        <w:t>Attitudes to Risk-Taking in Medical Decision Making</w:t>
      </w:r>
      <w:r w:rsidRPr="005031ED">
        <w:rPr>
          <w:rFonts w:ascii="Calibri" w:eastAsiaTheme="majorEastAsia" w:hAnsi="Calibri" w:cs="Calibri"/>
          <w:color w:val="000000" w:themeColor="text1"/>
        </w:rPr>
        <w:t xml:space="preserve"> questionnaire) might moderate the inclination to stop antibiotics (</w:t>
      </w:r>
      <w:r w:rsidRPr="005031ED">
        <w:rPr>
          <w:rFonts w:ascii="Calibri" w:eastAsiaTheme="majorEastAsia" w:hAnsi="Calibri" w:cs="Calibri"/>
          <w:i/>
          <w:iCs/>
          <w:color w:val="000000" w:themeColor="text1"/>
        </w:rPr>
        <w:t>hypothesis 6</w:t>
      </w:r>
      <w:r w:rsidRPr="005031ED">
        <w:rPr>
          <w:rFonts w:ascii="Calibri" w:eastAsiaTheme="majorEastAsia" w:hAnsi="Calibri" w:cs="Calibri"/>
          <w:color w:val="000000" w:themeColor="text1"/>
        </w:rPr>
        <w:t xml:space="preserve">). Of note, our investigation of clinician characteristics (experience and risk-taking) was purely exploratory, as the study was not powered to detect such effects.  </w:t>
      </w:r>
    </w:p>
    <w:p w14:paraId="6A745963" w14:textId="77777777" w:rsidR="007223B2" w:rsidRPr="005031ED" w:rsidRDefault="007223B2" w:rsidP="007223B2">
      <w:pPr>
        <w:spacing w:line="480" w:lineRule="auto"/>
        <w:rPr>
          <w:rFonts w:ascii="Calibri" w:eastAsiaTheme="majorEastAsia" w:hAnsi="Calibri" w:cs="Calibri"/>
        </w:rPr>
      </w:pPr>
      <w:r w:rsidRPr="005031ED">
        <w:rPr>
          <w:rFonts w:ascii="Calibri" w:eastAsiaTheme="majorEastAsia" w:hAnsi="Calibri" w:cs="Calibri"/>
        </w:rPr>
        <w:br w:type="page"/>
      </w:r>
    </w:p>
    <w:p w14:paraId="0C96106C"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b/>
          <w:bCs/>
          <w:color w:val="000000" w:themeColor="text1"/>
        </w:rPr>
        <w:lastRenderedPageBreak/>
        <w:t>SM2. The 4 clinical vignettes</w:t>
      </w:r>
      <w:r w:rsidRPr="005031ED">
        <w:rPr>
          <w:rFonts w:ascii="Calibri" w:eastAsiaTheme="majorEastAsia" w:hAnsi="Calibri" w:cs="Calibri"/>
          <w:color w:val="000000" w:themeColor="text1"/>
        </w:rPr>
        <w:t xml:space="preserve"> </w:t>
      </w:r>
    </w:p>
    <w:p w14:paraId="7400B076"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597E85AB"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b/>
          <w:bCs/>
          <w:color w:val="000000" w:themeColor="text1"/>
        </w:rPr>
        <w:t>The “improvement” vignette</w:t>
      </w:r>
      <w:r w:rsidRPr="005031ED">
        <w:rPr>
          <w:rFonts w:ascii="Calibri" w:eastAsiaTheme="majorEastAsia" w:hAnsi="Calibri" w:cs="Calibri"/>
          <w:color w:val="000000" w:themeColor="text1"/>
        </w:rPr>
        <w:t xml:space="preserve">  </w:t>
      </w:r>
    </w:p>
    <w:p w14:paraId="65DAD30D"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u w:val="single"/>
        </w:rPr>
        <w:t>Details of admission:</w:t>
      </w:r>
      <w:r w:rsidRPr="005031ED">
        <w:rPr>
          <w:rFonts w:ascii="Calibri" w:eastAsiaTheme="majorEastAsia" w:hAnsi="Calibri" w:cs="Calibri"/>
          <w:color w:val="000000" w:themeColor="text1"/>
        </w:rPr>
        <w:t xml:space="preserve"> </w:t>
      </w:r>
    </w:p>
    <w:p w14:paraId="16DF8313"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A 66-year-old male with a background of diverticulitis was admitted for elective sigmoid colectomy. Four days post-operatively he developed worsening hypoxia and pyrexia. His observations were the following: </w:t>
      </w:r>
      <w:r w:rsidRPr="005031ED">
        <w:rPr>
          <w:rFonts w:ascii="Calibri" w:eastAsiaTheme="majorEastAsia" w:hAnsi="Calibri" w:cs="Calibri"/>
          <w:color w:val="000000" w:themeColor="text1"/>
        </w:rPr>
        <w:t xml:space="preserve"> </w:t>
      </w:r>
    </w:p>
    <w:p w14:paraId="17B43237"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 </w:t>
      </w:r>
      <w:r w:rsidRPr="005031ED">
        <w:rPr>
          <w:rFonts w:ascii="Calibri" w:eastAsiaTheme="majorEastAsia"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4A4EBCB8"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6F7384D"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Respiratory rate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37D764"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24</w:t>
            </w:r>
            <w:r w:rsidRPr="005031ED">
              <w:rPr>
                <w:rFonts w:ascii="Calibri" w:eastAsiaTheme="majorEastAsia" w:hAnsi="Calibri" w:cs="Calibri"/>
              </w:rPr>
              <w:t xml:space="preserve"> </w:t>
            </w:r>
          </w:p>
        </w:tc>
      </w:tr>
      <w:tr w:rsidR="007223B2" w:rsidRPr="005031ED" w14:paraId="3BE73B81"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AAAAD2"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SpO2</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681B2C"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91% on room air</w:t>
            </w:r>
            <w:r w:rsidRPr="005031ED">
              <w:rPr>
                <w:rFonts w:ascii="Calibri" w:eastAsiaTheme="majorEastAsia" w:hAnsi="Calibri" w:cs="Calibri"/>
              </w:rPr>
              <w:t xml:space="preserve"> </w:t>
            </w:r>
          </w:p>
        </w:tc>
      </w:tr>
      <w:tr w:rsidR="007223B2" w:rsidRPr="005031ED" w14:paraId="14151954"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E29982"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Heart rate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27DB4F"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90</w:t>
            </w:r>
            <w:r w:rsidRPr="005031ED">
              <w:rPr>
                <w:rFonts w:ascii="Calibri" w:eastAsiaTheme="majorEastAsia" w:hAnsi="Calibri" w:cs="Calibri"/>
              </w:rPr>
              <w:t xml:space="preserve"> </w:t>
            </w:r>
          </w:p>
        </w:tc>
      </w:tr>
      <w:tr w:rsidR="007223B2" w:rsidRPr="005031ED" w14:paraId="1B18B117"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7964C4"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Blood pressure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1B6C5B"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102/71 mmHg</w:t>
            </w:r>
            <w:r w:rsidRPr="005031ED">
              <w:rPr>
                <w:rFonts w:ascii="Calibri" w:eastAsiaTheme="majorEastAsia" w:hAnsi="Calibri" w:cs="Calibri"/>
              </w:rPr>
              <w:t xml:space="preserve"> </w:t>
            </w:r>
          </w:p>
        </w:tc>
      </w:tr>
      <w:tr w:rsidR="007223B2" w:rsidRPr="005031ED" w14:paraId="7F6C796C"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4E76BB"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Temperature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2DA053"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38.1 C </w:t>
            </w:r>
            <w:r w:rsidRPr="005031ED">
              <w:rPr>
                <w:rFonts w:ascii="Calibri" w:eastAsiaTheme="majorEastAsia" w:hAnsi="Calibri" w:cs="Calibri"/>
              </w:rPr>
              <w:t xml:space="preserve"> </w:t>
            </w:r>
          </w:p>
        </w:tc>
      </w:tr>
    </w:tbl>
    <w:p w14:paraId="7F7B2C4D"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335F80C8"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There was bilateral pulmonary consolidation on both chest radiograph and a CT pulmonary angiogram, CTPA and nil else. His blood tests demonstrated a WBC of 16 and CRP of 98. He was empirically started on co-amoxiclav. </w:t>
      </w:r>
      <w:r w:rsidRPr="005031ED">
        <w:rPr>
          <w:rFonts w:ascii="Calibri" w:eastAsiaTheme="majorEastAsia" w:hAnsi="Calibri" w:cs="Calibri"/>
          <w:color w:val="000000" w:themeColor="text1"/>
        </w:rPr>
        <w:t xml:space="preserve"> </w:t>
      </w:r>
    </w:p>
    <w:p w14:paraId="71DC4767"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 </w:t>
      </w:r>
      <w:r w:rsidRPr="005031ED">
        <w:rPr>
          <w:rFonts w:ascii="Calibri" w:eastAsiaTheme="majorEastAsia" w:hAnsi="Calibri" w:cs="Calibri"/>
          <w:color w:val="000000" w:themeColor="text1"/>
        </w:rPr>
        <w:t xml:space="preserve"> </w:t>
      </w:r>
    </w:p>
    <w:p w14:paraId="2AAC36F3"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u w:val="single"/>
        </w:rPr>
        <w:t>Five days later:</w:t>
      </w:r>
      <w:r w:rsidRPr="005031ED">
        <w:rPr>
          <w:rFonts w:ascii="Calibri" w:eastAsiaTheme="majorEastAsia" w:hAnsi="Calibri" w:cs="Calibri"/>
          <w:color w:val="000000" w:themeColor="text1"/>
        </w:rPr>
        <w:t xml:space="preserve"> </w:t>
      </w:r>
    </w:p>
    <w:p w14:paraId="2BC4DDEC"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5 days later, he had improved shortness of breath and was afebrile. His observations were: </w:t>
      </w:r>
      <w:r w:rsidRPr="005031ED">
        <w:rPr>
          <w:rFonts w:ascii="Calibri" w:eastAsiaTheme="majorEastAsia" w:hAnsi="Calibri" w:cs="Calibri"/>
          <w:color w:val="000000" w:themeColor="text1"/>
        </w:rPr>
        <w:t xml:space="preserve"> </w:t>
      </w:r>
    </w:p>
    <w:p w14:paraId="3A8271D0"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3955128D"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70B4B004"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B58AD6"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lastRenderedPageBreak/>
              <w:t xml:space="preserve">Respiratory rate </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9BDE87"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18</w:t>
            </w:r>
            <w:r w:rsidRPr="005031ED">
              <w:rPr>
                <w:rFonts w:ascii="Calibri" w:eastAsiaTheme="majorEastAsia" w:hAnsi="Calibri" w:cs="Calibri"/>
              </w:rPr>
              <w:t xml:space="preserve"> </w:t>
            </w:r>
          </w:p>
        </w:tc>
      </w:tr>
      <w:tr w:rsidR="007223B2" w:rsidRPr="005031ED" w14:paraId="7DC4E47B"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D17486"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SpO2 </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702840"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98% on room air</w:t>
            </w:r>
            <w:r w:rsidRPr="005031ED">
              <w:rPr>
                <w:rFonts w:ascii="Calibri" w:eastAsiaTheme="majorEastAsia" w:hAnsi="Calibri" w:cs="Calibri"/>
              </w:rPr>
              <w:t xml:space="preserve"> </w:t>
            </w:r>
          </w:p>
        </w:tc>
      </w:tr>
      <w:tr w:rsidR="007223B2" w:rsidRPr="005031ED" w14:paraId="049DC92A"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7E3C99"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Heart rate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E75B13"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83</w:t>
            </w:r>
            <w:r w:rsidRPr="005031ED">
              <w:rPr>
                <w:rFonts w:ascii="Calibri" w:eastAsiaTheme="majorEastAsia" w:hAnsi="Calibri" w:cs="Calibri"/>
              </w:rPr>
              <w:t xml:space="preserve"> </w:t>
            </w:r>
          </w:p>
        </w:tc>
      </w:tr>
      <w:tr w:rsidR="007223B2" w:rsidRPr="005031ED" w14:paraId="0ABB7863"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3AFAE5"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Blood pressure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B7E43A"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112/70 mmHg</w:t>
            </w:r>
            <w:r w:rsidRPr="005031ED">
              <w:rPr>
                <w:rFonts w:ascii="Calibri" w:eastAsiaTheme="majorEastAsia" w:hAnsi="Calibri" w:cs="Calibri"/>
              </w:rPr>
              <w:t xml:space="preserve"> </w:t>
            </w:r>
          </w:p>
        </w:tc>
      </w:tr>
      <w:tr w:rsidR="007223B2" w:rsidRPr="005031ED" w14:paraId="7561A317"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063658"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Temperature </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5FB9A3"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37.2 C </w:t>
            </w:r>
            <w:r w:rsidRPr="005031ED">
              <w:rPr>
                <w:rFonts w:ascii="Calibri" w:eastAsiaTheme="majorEastAsia" w:hAnsi="Calibri" w:cs="Calibri"/>
              </w:rPr>
              <w:t xml:space="preserve"> </w:t>
            </w:r>
          </w:p>
        </w:tc>
      </w:tr>
    </w:tbl>
    <w:p w14:paraId="3DBA9361"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39B4CAFA"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He was eating and drinking well and mobilising on the ward. His repeat blood tests demonstrated a WBC of 10 and CRP of 25. </w:t>
      </w:r>
      <w:r w:rsidRPr="005031ED">
        <w:rPr>
          <w:rFonts w:ascii="Calibri" w:eastAsiaTheme="majorEastAsia" w:hAnsi="Calibri" w:cs="Calibri"/>
          <w:color w:val="000000" w:themeColor="text1"/>
        </w:rPr>
        <w:t xml:space="preserve"> </w:t>
      </w:r>
    </w:p>
    <w:p w14:paraId="67DBB162"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p>
    <w:p w14:paraId="7230F143" w14:textId="77777777" w:rsidR="007223B2" w:rsidRPr="005031ED" w:rsidRDefault="007223B2" w:rsidP="007223B2">
      <w:pPr>
        <w:spacing w:line="480" w:lineRule="auto"/>
        <w:rPr>
          <w:rFonts w:ascii="Calibri" w:eastAsiaTheme="majorEastAsia" w:hAnsi="Calibri" w:cs="Calibri"/>
        </w:rPr>
      </w:pPr>
      <w:r w:rsidRPr="005031ED">
        <w:rPr>
          <w:rFonts w:ascii="Calibri" w:eastAsiaTheme="majorEastAsia" w:hAnsi="Calibri" w:cs="Calibri"/>
          <w:color w:val="000000" w:themeColor="text1"/>
        </w:rPr>
        <w:t xml:space="preserve"> </w:t>
      </w:r>
      <w:r w:rsidRPr="005031ED">
        <w:rPr>
          <w:rFonts w:ascii="Calibri" w:eastAsiaTheme="majorEastAsia" w:hAnsi="Calibri" w:cs="Calibri"/>
          <w:b/>
          <w:bCs/>
          <w:color w:val="000000" w:themeColor="text1"/>
        </w:rPr>
        <w:t>The “worsening” vignette</w:t>
      </w:r>
      <w:r w:rsidRPr="005031ED">
        <w:rPr>
          <w:rFonts w:ascii="Calibri" w:eastAsiaTheme="majorEastAsia" w:hAnsi="Calibri" w:cs="Calibri"/>
          <w:color w:val="000000" w:themeColor="text1"/>
        </w:rPr>
        <w:t xml:space="preserve"> </w:t>
      </w:r>
    </w:p>
    <w:p w14:paraId="5AA4906C"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color w:val="000000" w:themeColor="text1"/>
        </w:rPr>
        <w:t xml:space="preserve"> </w:t>
      </w:r>
      <w:r w:rsidRPr="005031ED">
        <w:rPr>
          <w:rFonts w:ascii="Calibri" w:eastAsiaTheme="majorEastAsia" w:hAnsi="Calibri" w:cs="Calibri"/>
          <w:i/>
          <w:iCs/>
          <w:color w:val="000000" w:themeColor="text1"/>
          <w:u w:val="single"/>
        </w:rPr>
        <w:t>Details of admission:</w:t>
      </w:r>
      <w:r w:rsidRPr="005031ED">
        <w:rPr>
          <w:rFonts w:ascii="Calibri" w:eastAsiaTheme="majorEastAsia" w:hAnsi="Calibri" w:cs="Calibri"/>
          <w:color w:val="000000" w:themeColor="text1"/>
        </w:rPr>
        <w:t xml:space="preserve"> </w:t>
      </w:r>
    </w:p>
    <w:p w14:paraId="76456D73"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A 65-year-old female was admitted with a 2-day history of worsening shortness of breath and a non-productive cough. She has no past medical history. She was penicillin allergic. Her admission observations were: </w:t>
      </w:r>
      <w:r w:rsidRPr="005031ED">
        <w:rPr>
          <w:rFonts w:ascii="Calibri" w:eastAsiaTheme="majorEastAsia" w:hAnsi="Calibri" w:cs="Calibri"/>
          <w:color w:val="000000" w:themeColor="text1"/>
        </w:rPr>
        <w:t xml:space="preserve"> </w:t>
      </w:r>
    </w:p>
    <w:p w14:paraId="6084DC65" w14:textId="77777777" w:rsidR="007223B2" w:rsidRPr="005031ED" w:rsidRDefault="007223B2" w:rsidP="007223B2">
      <w:pPr>
        <w:spacing w:line="480" w:lineRule="auto"/>
        <w:rPr>
          <w:rFonts w:ascii="Calibri" w:eastAsiaTheme="majorEastAsia" w:hAnsi="Calibri" w:cs="Calibri"/>
          <w:color w:val="000000" w:themeColor="text1"/>
        </w:rPr>
      </w:pPr>
      <w:r w:rsidRPr="005031ED">
        <w:rPr>
          <w:rFonts w:ascii="Calibri" w:eastAsiaTheme="majorEastAsia" w:hAnsi="Calibri" w:cs="Calibri"/>
          <w:i/>
          <w:iCs/>
          <w:color w:val="000000" w:themeColor="text1"/>
        </w:rPr>
        <w:t xml:space="preserve"> </w:t>
      </w:r>
      <w:r w:rsidRPr="005031ED">
        <w:rPr>
          <w:rFonts w:ascii="Calibri" w:eastAsiaTheme="majorEastAsia"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711A545B"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080633"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Respiratory rate </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2E2C7DE"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22</w:t>
            </w:r>
            <w:r w:rsidRPr="005031ED">
              <w:rPr>
                <w:rFonts w:ascii="Calibri" w:eastAsiaTheme="majorEastAsia" w:hAnsi="Calibri" w:cs="Calibri"/>
              </w:rPr>
              <w:t xml:space="preserve"> </w:t>
            </w:r>
          </w:p>
        </w:tc>
      </w:tr>
      <w:tr w:rsidR="007223B2" w:rsidRPr="005031ED" w14:paraId="5A1199DC"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23168E"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 xml:space="preserve">SpO2 </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2503DA"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84% on room air</w:t>
            </w:r>
            <w:r w:rsidRPr="005031ED">
              <w:rPr>
                <w:rFonts w:ascii="Calibri" w:eastAsiaTheme="majorEastAsia" w:hAnsi="Calibri" w:cs="Calibri"/>
              </w:rPr>
              <w:t xml:space="preserve"> </w:t>
            </w:r>
          </w:p>
        </w:tc>
      </w:tr>
      <w:tr w:rsidR="007223B2" w:rsidRPr="005031ED" w14:paraId="023239E6"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487AB0"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Heart rate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97B61D"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98</w:t>
            </w:r>
            <w:r w:rsidRPr="005031ED">
              <w:rPr>
                <w:rFonts w:ascii="Calibri" w:eastAsiaTheme="majorEastAsia" w:hAnsi="Calibri" w:cs="Calibri"/>
              </w:rPr>
              <w:t xml:space="preserve"> </w:t>
            </w:r>
          </w:p>
        </w:tc>
      </w:tr>
      <w:tr w:rsidR="007223B2" w:rsidRPr="005031ED" w14:paraId="11A5E7A7"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E3EB58"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Blood pressure</w:t>
            </w:r>
            <w:r w:rsidRPr="005031ED">
              <w:rPr>
                <w:rFonts w:ascii="Calibri" w:eastAsiaTheme="majorEastAsia"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C8710D" w14:textId="77777777" w:rsidR="007223B2" w:rsidRPr="005031ED" w:rsidRDefault="007223B2" w:rsidP="00351AB7">
            <w:pPr>
              <w:spacing w:line="480" w:lineRule="auto"/>
              <w:rPr>
                <w:rFonts w:ascii="Calibri" w:eastAsiaTheme="majorEastAsia" w:hAnsi="Calibri" w:cs="Calibri"/>
              </w:rPr>
            </w:pPr>
            <w:r w:rsidRPr="005031ED">
              <w:rPr>
                <w:rFonts w:ascii="Calibri" w:eastAsiaTheme="majorEastAsia" w:hAnsi="Calibri" w:cs="Calibri"/>
                <w:i/>
                <w:iCs/>
              </w:rPr>
              <w:t>104/65 mmHg</w:t>
            </w:r>
            <w:r w:rsidRPr="005031ED">
              <w:rPr>
                <w:rFonts w:ascii="Calibri" w:eastAsiaTheme="majorEastAsia" w:hAnsi="Calibri" w:cs="Calibri"/>
              </w:rPr>
              <w:t xml:space="preserve"> </w:t>
            </w:r>
          </w:p>
        </w:tc>
      </w:tr>
      <w:tr w:rsidR="007223B2" w:rsidRPr="005031ED" w14:paraId="3E1DE188"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B4A2A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D1726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37.9 C </w:t>
            </w:r>
            <w:r w:rsidRPr="005031ED">
              <w:rPr>
                <w:rFonts w:ascii="Calibri" w:eastAsia="Arial" w:hAnsi="Calibri" w:cs="Calibri"/>
              </w:rPr>
              <w:t xml:space="preserve"> </w:t>
            </w:r>
          </w:p>
        </w:tc>
      </w:tr>
    </w:tbl>
    <w:p w14:paraId="1B6206A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1AA541BB"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lastRenderedPageBreak/>
        <w:t xml:space="preserve">There was right basal consolidation on her chest radiograph. Her blood tests demonstrated a WBC of 14 and a CRP of 102. She was empirically started on levofloxacin and clarithromycin. Within 24 hours she deteriorated and required mechanical ventilation. </w:t>
      </w:r>
      <w:r w:rsidRPr="005031ED">
        <w:rPr>
          <w:rFonts w:ascii="Calibri" w:eastAsia="Arial" w:hAnsi="Calibri" w:cs="Calibri"/>
          <w:color w:val="000000" w:themeColor="text1"/>
        </w:rPr>
        <w:t xml:space="preserve"> </w:t>
      </w:r>
    </w:p>
    <w:p w14:paraId="50D76458"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723173C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t>Three days later:</w:t>
      </w:r>
      <w:r w:rsidRPr="005031ED">
        <w:rPr>
          <w:rFonts w:ascii="Calibri" w:eastAsia="Arial" w:hAnsi="Calibri" w:cs="Calibri"/>
          <w:color w:val="000000" w:themeColor="text1"/>
        </w:rPr>
        <w:t xml:space="preserve"> </w:t>
      </w:r>
    </w:p>
    <w:p w14:paraId="6E32D9FA"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3 days later, after an initial improvement in ventilation, she became febrile. Her observations were: </w:t>
      </w:r>
      <w:r w:rsidRPr="005031ED">
        <w:rPr>
          <w:rFonts w:ascii="Calibri" w:eastAsia="Arial" w:hAnsi="Calibri" w:cs="Calibri"/>
          <w:color w:val="000000" w:themeColor="text1"/>
        </w:rPr>
        <w:t xml:space="preserve"> </w:t>
      </w:r>
    </w:p>
    <w:p w14:paraId="2FE1397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76431F78"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6573F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Respiratory rate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1FF69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25</w:t>
            </w:r>
            <w:r w:rsidRPr="005031ED">
              <w:rPr>
                <w:rFonts w:ascii="Calibri" w:eastAsia="Arial" w:hAnsi="Calibri" w:cs="Calibri"/>
              </w:rPr>
              <w:t xml:space="preserve"> </w:t>
            </w:r>
          </w:p>
        </w:tc>
      </w:tr>
      <w:tr w:rsidR="007223B2" w:rsidRPr="005031ED" w14:paraId="40A0D194"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1B3608"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SpO2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F49911"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92% on FiO2 21%</w:t>
            </w:r>
            <w:r w:rsidRPr="005031ED">
              <w:rPr>
                <w:rFonts w:ascii="Calibri" w:eastAsia="Arial" w:hAnsi="Calibri" w:cs="Calibri"/>
              </w:rPr>
              <w:t xml:space="preserve"> </w:t>
            </w:r>
          </w:p>
        </w:tc>
      </w:tr>
      <w:tr w:rsidR="007223B2" w:rsidRPr="005031ED" w14:paraId="51E0028C"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9501A4"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Heart rate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6CD97B"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120</w:t>
            </w:r>
            <w:r w:rsidRPr="005031ED">
              <w:rPr>
                <w:rFonts w:ascii="Calibri" w:eastAsia="Arial" w:hAnsi="Calibri" w:cs="Calibri"/>
              </w:rPr>
              <w:t xml:space="preserve"> </w:t>
            </w:r>
          </w:p>
        </w:tc>
      </w:tr>
      <w:tr w:rsidR="007223B2" w:rsidRPr="005031ED" w14:paraId="00BFB63A"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CE9DE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Blood pressure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8CC073"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130/70 mmHg</w:t>
            </w:r>
            <w:r w:rsidRPr="005031ED">
              <w:rPr>
                <w:rFonts w:ascii="Calibri" w:eastAsia="Arial" w:hAnsi="Calibri" w:cs="Calibri"/>
              </w:rPr>
              <w:t xml:space="preserve"> </w:t>
            </w:r>
          </w:p>
        </w:tc>
      </w:tr>
      <w:tr w:rsidR="007223B2" w:rsidRPr="005031ED" w14:paraId="4C229E31"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BE764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CB9BB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39.0 C </w:t>
            </w:r>
            <w:r w:rsidRPr="005031ED">
              <w:rPr>
                <w:rFonts w:ascii="Calibri" w:eastAsia="Arial" w:hAnsi="Calibri" w:cs="Calibri"/>
              </w:rPr>
              <w:t xml:space="preserve"> </w:t>
            </w:r>
          </w:p>
        </w:tc>
      </w:tr>
    </w:tbl>
    <w:p w14:paraId="671B934B"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27EE87C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Her repeat blood tests demonstrated WBC 18 and CRP 132.</w:t>
      </w:r>
      <w:r w:rsidRPr="005031ED">
        <w:rPr>
          <w:rFonts w:ascii="Calibri" w:eastAsia="Arial" w:hAnsi="Calibri" w:cs="Calibri"/>
          <w:color w:val="000000" w:themeColor="text1"/>
        </w:rPr>
        <w:t xml:space="preserve"> </w:t>
      </w:r>
    </w:p>
    <w:p w14:paraId="04DAB2FC"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5511260B" w14:textId="77777777" w:rsidR="007223B2" w:rsidRPr="005031ED" w:rsidRDefault="007223B2" w:rsidP="007223B2">
      <w:pPr>
        <w:spacing w:line="480" w:lineRule="auto"/>
        <w:rPr>
          <w:rFonts w:ascii="Calibri" w:eastAsia="Arial" w:hAnsi="Calibri" w:cs="Calibri"/>
        </w:rPr>
      </w:pPr>
      <w:r w:rsidRPr="005031ED">
        <w:rPr>
          <w:rFonts w:ascii="Calibri" w:hAnsi="Calibri" w:cs="Calibri"/>
        </w:rPr>
        <w:br/>
      </w:r>
    </w:p>
    <w:p w14:paraId="0DED4C3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63909F42" w14:textId="77777777" w:rsidR="007223B2" w:rsidRPr="005031ED" w:rsidRDefault="007223B2" w:rsidP="007223B2">
      <w:pPr>
        <w:spacing w:line="480" w:lineRule="auto"/>
        <w:rPr>
          <w:rFonts w:ascii="Calibri" w:eastAsia="Arial" w:hAnsi="Calibri" w:cs="Calibri"/>
        </w:rPr>
      </w:pPr>
      <w:r w:rsidRPr="005031ED">
        <w:rPr>
          <w:rFonts w:ascii="Calibri" w:hAnsi="Calibri" w:cs="Calibri"/>
        </w:rPr>
        <w:br w:type="page"/>
      </w:r>
    </w:p>
    <w:p w14:paraId="3E3A8E4E"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rPr>
        <w:lastRenderedPageBreak/>
        <w:t>The discordant vignette with clinical improvement but biochemical worsening (“disc clin better”):</w:t>
      </w:r>
      <w:r w:rsidRPr="005031ED">
        <w:rPr>
          <w:rFonts w:ascii="Calibri" w:eastAsia="Arial" w:hAnsi="Calibri" w:cs="Calibri"/>
          <w:color w:val="000000" w:themeColor="text1"/>
        </w:rPr>
        <w:t xml:space="preserve"> </w:t>
      </w:r>
    </w:p>
    <w:p w14:paraId="67720C5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t>Details of admission:</w:t>
      </w:r>
      <w:r w:rsidRPr="005031ED">
        <w:rPr>
          <w:rFonts w:ascii="Calibri" w:eastAsia="Arial" w:hAnsi="Calibri" w:cs="Calibri"/>
          <w:color w:val="000000" w:themeColor="text1"/>
        </w:rPr>
        <w:t xml:space="preserve"> </w:t>
      </w:r>
    </w:p>
    <w:p w14:paraId="1D4F724B"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A 62-year-old male was admitted to ITU with a 4-day history of pyrexia, shortness of breath, and a productive cough with rusty sputum. He has a past medical history of type 2 diabetes and hypertension. His observations were the following: </w:t>
      </w:r>
      <w:r w:rsidRPr="005031ED">
        <w:rPr>
          <w:rFonts w:ascii="Calibri" w:eastAsia="Arial" w:hAnsi="Calibri" w:cs="Calibri"/>
          <w:color w:val="000000" w:themeColor="text1"/>
        </w:rPr>
        <w:t xml:space="preserve"> </w:t>
      </w:r>
    </w:p>
    <w:p w14:paraId="0BE06C2F"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4B5F8875"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A2FEB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Respiratory rate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13BDA6"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28</w:t>
            </w:r>
            <w:r w:rsidRPr="005031ED">
              <w:rPr>
                <w:rFonts w:ascii="Calibri" w:eastAsia="Arial" w:hAnsi="Calibri" w:cs="Calibri"/>
              </w:rPr>
              <w:t xml:space="preserve"> </w:t>
            </w:r>
          </w:p>
        </w:tc>
      </w:tr>
      <w:tr w:rsidR="007223B2" w:rsidRPr="005031ED" w14:paraId="20B88232"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02D3C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SpO2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83935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86% on room air</w:t>
            </w:r>
            <w:r w:rsidRPr="005031ED">
              <w:rPr>
                <w:rFonts w:ascii="Calibri" w:eastAsia="Arial" w:hAnsi="Calibri" w:cs="Calibri"/>
              </w:rPr>
              <w:t xml:space="preserve"> </w:t>
            </w:r>
          </w:p>
        </w:tc>
      </w:tr>
      <w:tr w:rsidR="007223B2" w:rsidRPr="005031ED" w14:paraId="3DAED6AF"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6768DE"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Heart rate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2EE90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125</w:t>
            </w:r>
            <w:r w:rsidRPr="005031ED">
              <w:rPr>
                <w:rFonts w:ascii="Calibri" w:eastAsia="Arial" w:hAnsi="Calibri" w:cs="Calibri"/>
              </w:rPr>
              <w:t xml:space="preserve"> </w:t>
            </w:r>
          </w:p>
        </w:tc>
      </w:tr>
      <w:tr w:rsidR="007223B2" w:rsidRPr="005031ED" w14:paraId="53D76072"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6EDE4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Blood pressure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530AE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104/64 mmHg</w:t>
            </w:r>
            <w:r w:rsidRPr="005031ED">
              <w:rPr>
                <w:rFonts w:ascii="Calibri" w:eastAsia="Arial" w:hAnsi="Calibri" w:cs="Calibri"/>
              </w:rPr>
              <w:t xml:space="preserve"> </w:t>
            </w:r>
          </w:p>
        </w:tc>
      </w:tr>
      <w:tr w:rsidR="007223B2" w:rsidRPr="005031ED" w14:paraId="2A5DAA58"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9BC55E"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EF535B"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38.1 C </w:t>
            </w:r>
            <w:r w:rsidRPr="005031ED">
              <w:rPr>
                <w:rFonts w:ascii="Calibri" w:eastAsia="Arial" w:hAnsi="Calibri" w:cs="Calibri"/>
              </w:rPr>
              <w:t xml:space="preserve"> </w:t>
            </w:r>
          </w:p>
        </w:tc>
      </w:tr>
    </w:tbl>
    <w:p w14:paraId="665CB51A"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0D9C9D0F"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A chest radiograph demonstrated left basal consolidation. His blood tests demonstrated a WBC of 14 and a CRP of 70. Sputum culture grew fully sensitive Klebsiella Pneumonia. He was intubated and ventilated and empirically started on piperacillin/tazobactam. His initial blood gas findings were: </w:t>
      </w:r>
      <w:r w:rsidRPr="005031ED">
        <w:rPr>
          <w:rFonts w:ascii="Calibri" w:eastAsia="Arial" w:hAnsi="Calibri" w:cs="Calibri"/>
          <w:color w:val="000000" w:themeColor="text1"/>
        </w:rPr>
        <w:t xml:space="preserve"> </w:t>
      </w:r>
    </w:p>
    <w:p w14:paraId="4C421088"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hAnsi="Calibri" w:cs="Calibri"/>
        </w:rPr>
        <w:tab/>
      </w:r>
      <w:r w:rsidRPr="005031ED">
        <w:rPr>
          <w:rFonts w:ascii="Calibri" w:eastAsia="Arial" w:hAnsi="Calibri" w:cs="Calibri"/>
          <w:i/>
          <w:iCs/>
          <w:color w:val="000000" w:themeColor="text1"/>
        </w:rPr>
        <w:t xml:space="preserve">FiO2 0.6 </w:t>
      </w:r>
      <w:r w:rsidRPr="005031ED">
        <w:rPr>
          <w:rFonts w:ascii="Calibri" w:eastAsia="Arial" w:hAnsi="Calibri" w:cs="Calibri"/>
          <w:color w:val="000000" w:themeColor="text1"/>
        </w:rPr>
        <w:t xml:space="preserve"> </w:t>
      </w:r>
    </w:p>
    <w:p w14:paraId="1D810135"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hAnsi="Calibri" w:cs="Calibri"/>
        </w:rPr>
        <w:tab/>
      </w:r>
      <w:r w:rsidRPr="005031ED">
        <w:rPr>
          <w:rFonts w:ascii="Calibri" w:eastAsia="Arial" w:hAnsi="Calibri" w:cs="Calibri"/>
          <w:i/>
          <w:iCs/>
          <w:color w:val="000000" w:themeColor="text1"/>
        </w:rPr>
        <w:t xml:space="preserve">PaO2 of 7.9 kPa </w:t>
      </w:r>
      <w:r w:rsidRPr="005031ED">
        <w:rPr>
          <w:rFonts w:ascii="Calibri" w:eastAsia="Arial" w:hAnsi="Calibri" w:cs="Calibri"/>
          <w:color w:val="000000" w:themeColor="text1"/>
        </w:rPr>
        <w:t xml:space="preserve"> </w:t>
      </w:r>
    </w:p>
    <w:p w14:paraId="791812E3"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hAnsi="Calibri" w:cs="Calibri"/>
        </w:rPr>
        <w:tab/>
      </w:r>
      <w:r w:rsidRPr="005031ED">
        <w:rPr>
          <w:rFonts w:ascii="Calibri" w:eastAsia="Arial" w:hAnsi="Calibri" w:cs="Calibri"/>
          <w:i/>
          <w:iCs/>
          <w:color w:val="000000" w:themeColor="text1"/>
        </w:rPr>
        <w:t xml:space="preserve">PaCO2 5.5 kPa </w:t>
      </w:r>
      <w:r w:rsidRPr="005031ED">
        <w:rPr>
          <w:rFonts w:ascii="Calibri" w:eastAsia="Arial" w:hAnsi="Calibri" w:cs="Calibri"/>
          <w:color w:val="000000" w:themeColor="text1"/>
        </w:rPr>
        <w:t xml:space="preserve"> </w:t>
      </w:r>
    </w:p>
    <w:p w14:paraId="2B9976FE"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Base excess of -5  </w:t>
      </w:r>
      <w:r w:rsidRPr="005031ED">
        <w:rPr>
          <w:rFonts w:ascii="Calibri" w:eastAsia="Arial" w:hAnsi="Calibri" w:cs="Calibri"/>
          <w:color w:val="000000" w:themeColor="text1"/>
        </w:rPr>
        <w:t xml:space="preserve"> </w:t>
      </w:r>
    </w:p>
    <w:p w14:paraId="3976B0BC"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1966FA8F"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lastRenderedPageBreak/>
        <w:t>Seven days later:</w:t>
      </w:r>
      <w:r w:rsidRPr="005031ED">
        <w:rPr>
          <w:rFonts w:ascii="Calibri" w:eastAsia="Arial" w:hAnsi="Calibri" w:cs="Calibri"/>
          <w:color w:val="000000" w:themeColor="text1"/>
        </w:rPr>
        <w:t xml:space="preserve"> </w:t>
      </w:r>
    </w:p>
    <w:p w14:paraId="1EA706C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7 days into his admission, he was improving on </w:t>
      </w:r>
      <w:proofErr w:type="gramStart"/>
      <w:r w:rsidRPr="005031ED">
        <w:rPr>
          <w:rFonts w:ascii="Calibri" w:eastAsia="Arial" w:hAnsi="Calibri" w:cs="Calibri"/>
          <w:i/>
          <w:iCs/>
          <w:color w:val="000000" w:themeColor="text1"/>
        </w:rPr>
        <w:t>ventilation</w:t>
      </w:r>
      <w:proofErr w:type="gramEnd"/>
      <w:r w:rsidRPr="005031ED">
        <w:rPr>
          <w:rFonts w:ascii="Calibri" w:eastAsia="Arial" w:hAnsi="Calibri" w:cs="Calibri"/>
          <w:i/>
          <w:iCs/>
          <w:color w:val="000000" w:themeColor="text1"/>
        </w:rPr>
        <w:t xml:space="preserve"> and he is extubated and weaned onto room air. He was feeling much better. His observations were: </w:t>
      </w:r>
      <w:r w:rsidRPr="005031ED">
        <w:rPr>
          <w:rFonts w:ascii="Calibri" w:eastAsia="Arial" w:hAnsi="Calibri" w:cs="Calibri"/>
          <w:color w:val="000000" w:themeColor="text1"/>
        </w:rPr>
        <w:t xml:space="preserve"> </w:t>
      </w:r>
    </w:p>
    <w:p w14:paraId="08BB0CE8"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5CCAF2E3"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EADE40"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Respiratory rate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5CF90A"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16</w:t>
            </w:r>
            <w:r w:rsidRPr="005031ED">
              <w:rPr>
                <w:rFonts w:ascii="Calibri" w:eastAsia="Arial" w:hAnsi="Calibri" w:cs="Calibri"/>
              </w:rPr>
              <w:t xml:space="preserve"> </w:t>
            </w:r>
          </w:p>
        </w:tc>
      </w:tr>
      <w:tr w:rsidR="007223B2" w:rsidRPr="005031ED" w14:paraId="22537867"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D4CAD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SpO2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76E59D"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94% on room air</w:t>
            </w:r>
            <w:r w:rsidRPr="005031ED">
              <w:rPr>
                <w:rFonts w:ascii="Calibri" w:eastAsia="Arial" w:hAnsi="Calibri" w:cs="Calibri"/>
              </w:rPr>
              <w:t xml:space="preserve"> </w:t>
            </w:r>
          </w:p>
        </w:tc>
      </w:tr>
      <w:tr w:rsidR="007223B2" w:rsidRPr="005031ED" w14:paraId="260B901D"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3EBC04"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Heart rate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CBFD2ED"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85</w:t>
            </w:r>
            <w:r w:rsidRPr="005031ED">
              <w:rPr>
                <w:rFonts w:ascii="Calibri" w:eastAsia="Arial" w:hAnsi="Calibri" w:cs="Calibri"/>
              </w:rPr>
              <w:t xml:space="preserve"> </w:t>
            </w:r>
          </w:p>
        </w:tc>
      </w:tr>
      <w:tr w:rsidR="007223B2" w:rsidRPr="005031ED" w14:paraId="419F62CF"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A45CFD"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Blood pressure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0900F14"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110/70 mmHg</w:t>
            </w:r>
            <w:r w:rsidRPr="005031ED">
              <w:rPr>
                <w:rFonts w:ascii="Calibri" w:eastAsia="Arial" w:hAnsi="Calibri" w:cs="Calibri"/>
              </w:rPr>
              <w:t xml:space="preserve"> </w:t>
            </w:r>
          </w:p>
        </w:tc>
      </w:tr>
      <w:tr w:rsidR="007223B2" w:rsidRPr="005031ED" w14:paraId="7752BD90"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9E724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9391F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37.4 C </w:t>
            </w:r>
            <w:r w:rsidRPr="005031ED">
              <w:rPr>
                <w:rFonts w:ascii="Calibri" w:eastAsia="Arial" w:hAnsi="Calibri" w:cs="Calibri"/>
              </w:rPr>
              <w:t xml:space="preserve"> </w:t>
            </w:r>
          </w:p>
        </w:tc>
      </w:tr>
    </w:tbl>
    <w:p w14:paraId="3C3F368C"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601C6ECD"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His repeat blood tests demonstrated a WBC of 16 and a CRP of 110. </w:t>
      </w:r>
      <w:r w:rsidRPr="005031ED">
        <w:rPr>
          <w:rFonts w:ascii="Calibri" w:eastAsia="Arial" w:hAnsi="Calibri" w:cs="Calibri"/>
          <w:color w:val="000000" w:themeColor="text1"/>
        </w:rPr>
        <w:t xml:space="preserve"> </w:t>
      </w:r>
    </w:p>
    <w:p w14:paraId="3DD3956D"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79184019" w14:textId="77777777" w:rsidR="007223B2" w:rsidRPr="005031ED" w:rsidRDefault="007223B2" w:rsidP="007223B2">
      <w:pPr>
        <w:spacing w:line="480" w:lineRule="auto"/>
        <w:rPr>
          <w:rFonts w:ascii="Calibri" w:eastAsia="Arial" w:hAnsi="Calibri" w:cs="Calibri"/>
        </w:rPr>
      </w:pPr>
      <w:r w:rsidRPr="005031ED">
        <w:rPr>
          <w:rFonts w:ascii="Calibri" w:eastAsia="Arial" w:hAnsi="Calibri" w:cs="Calibri"/>
          <w:b/>
          <w:bCs/>
          <w:color w:val="000000" w:themeColor="text1"/>
        </w:rPr>
        <w:t>The discordant vignette with clinical worsening but biochemical improvement (“disc clin worse”):</w:t>
      </w:r>
      <w:r w:rsidRPr="005031ED">
        <w:rPr>
          <w:rFonts w:ascii="Calibri" w:eastAsia="Arial" w:hAnsi="Calibri" w:cs="Calibri"/>
          <w:color w:val="000000" w:themeColor="text1"/>
        </w:rPr>
        <w:t xml:space="preserve">  </w:t>
      </w:r>
    </w:p>
    <w:p w14:paraId="3260068E"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t>Details of admission:</w:t>
      </w:r>
      <w:r w:rsidRPr="005031ED">
        <w:rPr>
          <w:rFonts w:ascii="Calibri" w:eastAsia="Arial" w:hAnsi="Calibri" w:cs="Calibri"/>
          <w:color w:val="000000" w:themeColor="text1"/>
        </w:rPr>
        <w:t xml:space="preserve"> </w:t>
      </w:r>
    </w:p>
    <w:p w14:paraId="28E838A6"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A 54-year-old male was admitted to ITU with a 2-day history of pyrexia, shortness of breath and a productive cough. He has no past medical history. His observations were the following: </w:t>
      </w:r>
      <w:r w:rsidRPr="005031ED">
        <w:rPr>
          <w:rFonts w:ascii="Calibri" w:eastAsia="Arial" w:hAnsi="Calibri" w:cs="Calibri"/>
          <w:color w:val="000000" w:themeColor="text1"/>
        </w:rPr>
        <w:t xml:space="preserve"> </w:t>
      </w:r>
    </w:p>
    <w:p w14:paraId="6FD20195"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7B152161"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93A3B1"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Respiratory rate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FBB32A"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22</w:t>
            </w:r>
            <w:r w:rsidRPr="005031ED">
              <w:rPr>
                <w:rFonts w:ascii="Calibri" w:eastAsia="Arial" w:hAnsi="Calibri" w:cs="Calibri"/>
              </w:rPr>
              <w:t xml:space="preserve"> </w:t>
            </w:r>
          </w:p>
        </w:tc>
      </w:tr>
      <w:tr w:rsidR="007223B2" w:rsidRPr="005031ED" w14:paraId="7507B309"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AE7F3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SpO2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547B36"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88% on room air</w:t>
            </w:r>
            <w:r w:rsidRPr="005031ED">
              <w:rPr>
                <w:rFonts w:ascii="Calibri" w:eastAsia="Arial" w:hAnsi="Calibri" w:cs="Calibri"/>
              </w:rPr>
              <w:t xml:space="preserve"> </w:t>
            </w:r>
          </w:p>
        </w:tc>
      </w:tr>
      <w:tr w:rsidR="007223B2" w:rsidRPr="005031ED" w14:paraId="031137EB"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36C5A1A"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Heart rate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C97EC6"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130</w:t>
            </w:r>
            <w:r w:rsidRPr="005031ED">
              <w:rPr>
                <w:rFonts w:ascii="Calibri" w:eastAsia="Arial" w:hAnsi="Calibri" w:cs="Calibri"/>
              </w:rPr>
              <w:t xml:space="preserve"> </w:t>
            </w:r>
          </w:p>
        </w:tc>
      </w:tr>
      <w:tr w:rsidR="007223B2" w:rsidRPr="005031ED" w14:paraId="2E15AFB8"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9AD88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lastRenderedPageBreak/>
              <w:t>Blood pressure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70DE87"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115/54 mmHg</w:t>
            </w:r>
            <w:r w:rsidRPr="005031ED">
              <w:rPr>
                <w:rFonts w:ascii="Calibri" w:eastAsia="Arial" w:hAnsi="Calibri" w:cs="Calibri"/>
              </w:rPr>
              <w:t xml:space="preserve"> </w:t>
            </w:r>
          </w:p>
        </w:tc>
      </w:tr>
      <w:tr w:rsidR="007223B2" w:rsidRPr="005031ED" w14:paraId="6B75C3CD"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02F50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7F809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38.1 C </w:t>
            </w:r>
            <w:r w:rsidRPr="005031ED">
              <w:rPr>
                <w:rFonts w:ascii="Calibri" w:eastAsia="Arial" w:hAnsi="Calibri" w:cs="Calibri"/>
              </w:rPr>
              <w:t xml:space="preserve"> </w:t>
            </w:r>
          </w:p>
        </w:tc>
      </w:tr>
    </w:tbl>
    <w:p w14:paraId="1FE5753A"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40CEFF5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A chest radiograph demonstrated bilateral pulmonary infiltrates. His blood tests demonstrated a WBC of 19 and a CRP of 110. Sputum culture grew fully sensitive to streptococcus pneumonia. He was intubated and ventilated and empirically started on piperacillin/tazobactam. His initial blood gas findings were: </w:t>
      </w:r>
      <w:r w:rsidRPr="005031ED">
        <w:rPr>
          <w:rFonts w:ascii="Calibri" w:eastAsia="Arial" w:hAnsi="Calibri" w:cs="Calibri"/>
          <w:color w:val="000000" w:themeColor="text1"/>
        </w:rPr>
        <w:t xml:space="preserve"> </w:t>
      </w:r>
    </w:p>
    <w:p w14:paraId="6025D10B"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color w:val="000000" w:themeColor="text1"/>
        </w:rPr>
        <w:t xml:space="preserve">·   </w:t>
      </w:r>
      <w:r w:rsidRPr="005031ED">
        <w:rPr>
          <w:rFonts w:ascii="Calibri" w:hAnsi="Calibri" w:cs="Calibri"/>
        </w:rPr>
        <w:tab/>
      </w:r>
      <w:r w:rsidRPr="005031ED">
        <w:rPr>
          <w:rFonts w:ascii="Calibri" w:eastAsia="Arial" w:hAnsi="Calibri" w:cs="Calibri"/>
          <w:color w:val="000000" w:themeColor="text1"/>
        </w:rPr>
        <w:t xml:space="preserve">FiO2 0.6  </w:t>
      </w:r>
    </w:p>
    <w:p w14:paraId="25D16E30"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color w:val="000000" w:themeColor="text1"/>
        </w:rPr>
        <w:t xml:space="preserve">·   </w:t>
      </w:r>
      <w:r w:rsidRPr="005031ED">
        <w:rPr>
          <w:rFonts w:ascii="Calibri" w:hAnsi="Calibri" w:cs="Calibri"/>
        </w:rPr>
        <w:tab/>
      </w:r>
      <w:r w:rsidRPr="005031ED">
        <w:rPr>
          <w:rFonts w:ascii="Calibri" w:eastAsia="Arial" w:hAnsi="Calibri" w:cs="Calibri"/>
          <w:color w:val="000000" w:themeColor="text1"/>
        </w:rPr>
        <w:t xml:space="preserve">PaO2 of 7.9 kPa  </w:t>
      </w:r>
    </w:p>
    <w:p w14:paraId="6E7CDD15"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color w:val="000000" w:themeColor="text1"/>
        </w:rPr>
        <w:t xml:space="preserve">·   </w:t>
      </w:r>
      <w:r w:rsidRPr="005031ED">
        <w:rPr>
          <w:rFonts w:ascii="Calibri" w:hAnsi="Calibri" w:cs="Calibri"/>
        </w:rPr>
        <w:tab/>
      </w:r>
      <w:r w:rsidRPr="005031ED">
        <w:rPr>
          <w:rFonts w:ascii="Calibri" w:eastAsia="Arial" w:hAnsi="Calibri" w:cs="Calibri"/>
          <w:color w:val="000000" w:themeColor="text1"/>
        </w:rPr>
        <w:t xml:space="preserve">PaCO2 4.5 kPa  </w:t>
      </w:r>
    </w:p>
    <w:p w14:paraId="473A70EE" w14:textId="77777777" w:rsidR="007223B2" w:rsidRPr="005031ED" w:rsidRDefault="007223B2" w:rsidP="007223B2">
      <w:pPr>
        <w:spacing w:line="480" w:lineRule="auto"/>
        <w:ind w:left="360" w:hanging="360"/>
        <w:rPr>
          <w:rFonts w:ascii="Calibri" w:eastAsia="Arial" w:hAnsi="Calibri" w:cs="Calibri"/>
          <w:color w:val="000000" w:themeColor="text1"/>
        </w:rPr>
      </w:pPr>
      <w:r w:rsidRPr="005031ED">
        <w:rPr>
          <w:rFonts w:ascii="Calibri" w:eastAsia="Arial" w:hAnsi="Calibri" w:cs="Calibri"/>
          <w:color w:val="000000" w:themeColor="text1"/>
        </w:rPr>
        <w:t xml:space="preserve">·   </w:t>
      </w:r>
      <w:r w:rsidRPr="005031ED">
        <w:rPr>
          <w:rFonts w:ascii="Calibri" w:hAnsi="Calibri" w:cs="Calibri"/>
        </w:rPr>
        <w:tab/>
      </w:r>
      <w:r w:rsidRPr="005031ED">
        <w:rPr>
          <w:rFonts w:ascii="Calibri" w:eastAsia="Arial" w:hAnsi="Calibri" w:cs="Calibri"/>
          <w:color w:val="000000" w:themeColor="text1"/>
        </w:rPr>
        <w:t xml:space="preserve">Base excess of -5   </w:t>
      </w:r>
    </w:p>
    <w:p w14:paraId="280B2F8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502A47EC"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t>Five days later:</w:t>
      </w:r>
      <w:r w:rsidRPr="005031ED">
        <w:rPr>
          <w:rFonts w:ascii="Calibri" w:eastAsia="Arial" w:hAnsi="Calibri" w:cs="Calibri"/>
          <w:color w:val="000000" w:themeColor="text1"/>
        </w:rPr>
        <w:t xml:space="preserve"> </w:t>
      </w:r>
    </w:p>
    <w:p w14:paraId="0115FD55"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5 days into his admission, he was extubated and weaned onto room air. Chest radiograph findings were unchanged. A few days following </w:t>
      </w:r>
      <w:proofErr w:type="spellStart"/>
      <w:r w:rsidRPr="005031ED">
        <w:rPr>
          <w:rFonts w:ascii="Calibri" w:eastAsia="Arial" w:hAnsi="Calibri" w:cs="Calibri"/>
          <w:i/>
          <w:iCs/>
          <w:color w:val="000000" w:themeColor="text1"/>
        </w:rPr>
        <w:t>extubation</w:t>
      </w:r>
      <w:proofErr w:type="spellEnd"/>
      <w:r w:rsidRPr="005031ED">
        <w:rPr>
          <w:rFonts w:ascii="Calibri" w:eastAsia="Arial" w:hAnsi="Calibri" w:cs="Calibri"/>
          <w:i/>
          <w:iCs/>
          <w:color w:val="000000" w:themeColor="text1"/>
        </w:rPr>
        <w:t xml:space="preserve">, he developed new pyrexia and increased oxygen requirement.  </w:t>
      </w:r>
      <w:r w:rsidRPr="005031ED">
        <w:rPr>
          <w:rFonts w:ascii="Calibri" w:eastAsia="Arial" w:hAnsi="Calibri" w:cs="Calibri"/>
          <w:color w:val="000000" w:themeColor="text1"/>
        </w:rPr>
        <w:t xml:space="preserve"> </w:t>
      </w:r>
    </w:p>
    <w:p w14:paraId="43A45C2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p w14:paraId="136F24F3"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u w:val="single"/>
        </w:rPr>
        <w:t>Seven days later:</w:t>
      </w:r>
      <w:r w:rsidRPr="005031ED">
        <w:rPr>
          <w:rFonts w:ascii="Calibri" w:eastAsia="Arial" w:hAnsi="Calibri" w:cs="Calibri"/>
          <w:color w:val="000000" w:themeColor="text1"/>
        </w:rPr>
        <w:t xml:space="preserve"> </w:t>
      </w:r>
    </w:p>
    <w:p w14:paraId="29E93DBE"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7 days into his admission, his observations were:</w:t>
      </w:r>
      <w:r w:rsidRPr="005031ED">
        <w:rPr>
          <w:rFonts w:ascii="Calibri" w:eastAsia="Arial" w:hAnsi="Calibri" w:cs="Calibri"/>
          <w:color w:val="000000" w:themeColor="text1"/>
        </w:rPr>
        <w:t xml:space="preserve"> </w:t>
      </w:r>
    </w:p>
    <w:p w14:paraId="73F27617"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4500"/>
        <w:gridCol w:w="4500"/>
      </w:tblGrid>
      <w:tr w:rsidR="007223B2" w:rsidRPr="005031ED" w14:paraId="7FE40F2C"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A948EA"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Respiratory rate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5F1CE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20</w:t>
            </w:r>
            <w:r w:rsidRPr="005031ED">
              <w:rPr>
                <w:rFonts w:ascii="Calibri" w:eastAsia="Arial" w:hAnsi="Calibri" w:cs="Calibri"/>
              </w:rPr>
              <w:t xml:space="preserve"> </w:t>
            </w:r>
          </w:p>
        </w:tc>
      </w:tr>
      <w:tr w:rsidR="007223B2" w:rsidRPr="005031ED" w14:paraId="7A5B9C3F"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26FB9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lastRenderedPageBreak/>
              <w:t xml:space="preserve">SpO2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8F1D15"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92% on FiO2 0.6</w:t>
            </w:r>
            <w:r w:rsidRPr="005031ED">
              <w:rPr>
                <w:rFonts w:ascii="Calibri" w:eastAsia="Arial" w:hAnsi="Calibri" w:cs="Calibri"/>
              </w:rPr>
              <w:t xml:space="preserve"> </w:t>
            </w:r>
          </w:p>
        </w:tc>
      </w:tr>
      <w:tr w:rsidR="007223B2" w:rsidRPr="005031ED" w14:paraId="3E351B37"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861320"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Heart rate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987E60"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100</w:t>
            </w:r>
            <w:r w:rsidRPr="005031ED">
              <w:rPr>
                <w:rFonts w:ascii="Calibri" w:eastAsia="Arial" w:hAnsi="Calibri" w:cs="Calibri"/>
              </w:rPr>
              <w:t xml:space="preserve"> </w:t>
            </w:r>
          </w:p>
        </w:tc>
      </w:tr>
      <w:tr w:rsidR="007223B2" w:rsidRPr="005031ED" w14:paraId="7EA4B37A"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61EDDE"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Blood pressure</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EF0BCE"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130/70 mmHg</w:t>
            </w:r>
            <w:r w:rsidRPr="005031ED">
              <w:rPr>
                <w:rFonts w:ascii="Calibri" w:eastAsia="Arial" w:hAnsi="Calibri" w:cs="Calibri"/>
              </w:rPr>
              <w:t xml:space="preserve"> </w:t>
            </w:r>
          </w:p>
        </w:tc>
      </w:tr>
      <w:tr w:rsidR="007223B2" w:rsidRPr="005031ED" w14:paraId="45CF2E5E" w14:textId="77777777" w:rsidTr="00351AB7">
        <w:trPr>
          <w:trHeight w:val="30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8640C4"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Temperature </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6F52FB"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 xml:space="preserve">37.8 C </w:t>
            </w:r>
            <w:r w:rsidRPr="005031ED">
              <w:rPr>
                <w:rFonts w:ascii="Calibri" w:eastAsia="Arial" w:hAnsi="Calibri" w:cs="Calibri"/>
              </w:rPr>
              <w:t xml:space="preserve"> </w:t>
            </w:r>
          </w:p>
        </w:tc>
      </w:tr>
    </w:tbl>
    <w:p w14:paraId="3832950E"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078D09D0"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His repeat blood tests demonstrated a WBC of 9 and a CRP of 24. </w:t>
      </w:r>
      <w:r w:rsidRPr="005031ED">
        <w:rPr>
          <w:rFonts w:ascii="Calibri" w:eastAsia="Arial" w:hAnsi="Calibri" w:cs="Calibri"/>
          <w:color w:val="000000" w:themeColor="text1"/>
        </w:rPr>
        <w:t xml:space="preserve"> </w:t>
      </w:r>
    </w:p>
    <w:p w14:paraId="48BE2E3A"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430053B7" w14:textId="77777777" w:rsidR="007223B2" w:rsidRPr="005031ED" w:rsidRDefault="007223B2" w:rsidP="007223B2">
      <w:pPr>
        <w:spacing w:line="480" w:lineRule="auto"/>
        <w:rPr>
          <w:rFonts w:ascii="Calibri" w:eastAsia="Arial" w:hAnsi="Calibri" w:cs="Calibri"/>
        </w:rPr>
      </w:pPr>
      <w:r w:rsidRPr="005031ED">
        <w:rPr>
          <w:rFonts w:ascii="Calibri" w:hAnsi="Calibri" w:cs="Calibri"/>
        </w:rPr>
        <w:br w:type="page"/>
      </w:r>
    </w:p>
    <w:p w14:paraId="7E987BDA"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rPr>
        <w:lastRenderedPageBreak/>
        <w:t>SM3. Piloting vignettes</w:t>
      </w:r>
      <w:r w:rsidRPr="005031ED">
        <w:rPr>
          <w:rFonts w:ascii="Calibri" w:eastAsia="Arial" w:hAnsi="Calibri" w:cs="Calibri"/>
          <w:color w:val="000000" w:themeColor="text1"/>
        </w:rPr>
        <w:t xml:space="preserve"> </w:t>
      </w:r>
    </w:p>
    <w:p w14:paraId="3AD45B5F"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7FC22B0B"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color w:val="000000" w:themeColor="text1"/>
        </w:rPr>
        <w:t xml:space="preserve">Five non-participating intensivists pilot-tested the vignettes for accessibility and authenticity. We sought feedback regarding the survey structure and format and were able to validate the control vignettes using their anonymised survey responses.   </w:t>
      </w:r>
    </w:p>
    <w:p w14:paraId="56FA358A"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57E4C261"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color w:val="000000" w:themeColor="text1"/>
        </w:rPr>
        <w:t xml:space="preserve">Mid-way through data collection, we were advised by a statistician to validate our sample size by running our analysis (mixed effects model used to test hypotheses 2-4) on data collected from 10 participants (selected at random). Each participant had responded to all four scenarios, yielding 40 scenario responses. The results appear below. </w:t>
      </w:r>
    </w:p>
    <w:p w14:paraId="7E01D582"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2250"/>
        <w:gridCol w:w="2250"/>
        <w:gridCol w:w="2250"/>
        <w:gridCol w:w="2250"/>
      </w:tblGrid>
      <w:tr w:rsidR="007223B2" w:rsidRPr="005031ED" w14:paraId="4076E6F8" w14:textId="77777777" w:rsidTr="00351AB7">
        <w:trPr>
          <w:trHeight w:val="585"/>
        </w:trPr>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68C700"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u w:val="single"/>
              </w:rPr>
              <w:t>Factor</w:t>
            </w:r>
            <w:r w:rsidRPr="005031ED">
              <w:rPr>
                <w:rFonts w:ascii="Calibri" w:eastAsia="Arial" w:hAnsi="Calibri" w:cs="Calibri"/>
              </w:rPr>
              <w:t xml:space="preserve">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A71EB1"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u w:val="single"/>
              </w:rPr>
              <w:t xml:space="preserve">Coefficient </w:t>
            </w:r>
          </w:p>
          <w:p w14:paraId="1B51686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u w:val="single"/>
              </w:rPr>
              <w:t>[95% CI]</w:t>
            </w:r>
            <w:r w:rsidRPr="005031ED">
              <w:rPr>
                <w:rFonts w:ascii="Calibri" w:eastAsia="Arial" w:hAnsi="Calibri" w:cs="Calibri"/>
              </w:rPr>
              <w:t xml:space="preserve">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1E49A7"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i/>
                <w:iCs/>
                <w:u w:val="single"/>
              </w:rPr>
              <w:t>p</w:t>
            </w:r>
            <w:r w:rsidRPr="005031ED">
              <w:rPr>
                <w:rFonts w:ascii="Calibri" w:eastAsia="Arial" w:hAnsi="Calibri" w:cs="Calibri"/>
              </w:rPr>
              <w:t xml:space="preserve">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DFC3B2D"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u w:val="single"/>
              </w:rPr>
              <w:t>Part correlation</w:t>
            </w:r>
            <w:r w:rsidRPr="005031ED">
              <w:rPr>
                <w:rFonts w:ascii="Calibri" w:eastAsia="Arial" w:hAnsi="Calibri" w:cs="Calibri"/>
              </w:rPr>
              <w:t xml:space="preserve"> </w:t>
            </w:r>
          </w:p>
        </w:tc>
      </w:tr>
      <w:tr w:rsidR="007223B2" w:rsidRPr="005031ED" w14:paraId="6BB07AAC" w14:textId="77777777" w:rsidTr="00351AB7">
        <w:trPr>
          <w:trHeight w:val="300"/>
        </w:trPr>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8785B9" w14:textId="77777777" w:rsidR="007223B2" w:rsidRPr="005031ED" w:rsidRDefault="007223B2" w:rsidP="00351AB7">
            <w:pPr>
              <w:spacing w:line="480" w:lineRule="auto"/>
              <w:rPr>
                <w:rFonts w:ascii="Calibri" w:eastAsia="Arial" w:hAnsi="Calibri" w:cs="Calibri"/>
              </w:rPr>
            </w:pPr>
            <w:proofErr w:type="spellStart"/>
            <w:r w:rsidRPr="005031ED">
              <w:rPr>
                <w:rFonts w:ascii="Calibri" w:eastAsia="Arial" w:hAnsi="Calibri" w:cs="Calibri"/>
              </w:rPr>
              <w:t>Clinico</w:t>
            </w:r>
            <w:proofErr w:type="spellEnd"/>
            <w:r w:rsidRPr="005031ED">
              <w:rPr>
                <w:rFonts w:ascii="Calibri" w:eastAsia="Arial" w:hAnsi="Calibri" w:cs="Calibri"/>
              </w:rPr>
              <w:t xml:space="preserve">-biological trajectory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21C493"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-0.52 [-2.54, 1.51]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7F285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0.610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3BBC39"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-0.054 </w:t>
            </w:r>
          </w:p>
        </w:tc>
      </w:tr>
      <w:tr w:rsidR="007223B2" w:rsidRPr="005031ED" w14:paraId="73034633" w14:textId="77777777" w:rsidTr="00351AB7">
        <w:trPr>
          <w:trHeight w:val="300"/>
        </w:trPr>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5EF984"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Initial inclination-to-stop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2972B07"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0.78 [0.48, 1.07]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5A5893"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&lt;0.001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04DF9C"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0.555 </w:t>
            </w:r>
          </w:p>
        </w:tc>
      </w:tr>
      <w:tr w:rsidR="007223B2" w:rsidRPr="005031ED" w14:paraId="1F86CCA7" w14:textId="77777777" w:rsidTr="00351AB7">
        <w:trPr>
          <w:trHeight w:val="585"/>
        </w:trPr>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A90D42"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In/voluntary receipt of POCT results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6E8B31"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1.74 [-0.64, 4.11]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DEDE6B"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0.146 </w:t>
            </w:r>
          </w:p>
        </w:tc>
        <w:tc>
          <w:tcPr>
            <w:tcW w:w="22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07A661"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rPr>
              <w:t xml:space="preserve">0.156 </w:t>
            </w:r>
          </w:p>
        </w:tc>
      </w:tr>
    </w:tbl>
    <w:p w14:paraId="1165EE6C"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r w:rsidRPr="005031ED">
        <w:rPr>
          <w:rFonts w:ascii="Calibri" w:eastAsia="Arial" w:hAnsi="Calibri" w:cs="Calibri"/>
          <w:i/>
          <w:iCs/>
          <w:color w:val="000000" w:themeColor="text1"/>
        </w:rPr>
        <w:t xml:space="preserve">Table SM3. Validation of sample size using pilot data. </w:t>
      </w:r>
      <w:proofErr w:type="spellStart"/>
      <w:r w:rsidRPr="005031ED">
        <w:rPr>
          <w:rFonts w:ascii="Calibri" w:eastAsia="Arial" w:hAnsi="Calibri" w:cs="Calibri"/>
          <w:i/>
          <w:iCs/>
          <w:color w:val="000000" w:themeColor="text1"/>
        </w:rPr>
        <w:t>Clinico</w:t>
      </w:r>
      <w:proofErr w:type="spellEnd"/>
      <w:r w:rsidRPr="005031ED">
        <w:rPr>
          <w:rFonts w:ascii="Calibri" w:eastAsia="Arial" w:hAnsi="Calibri" w:cs="Calibri"/>
          <w:i/>
          <w:iCs/>
          <w:color w:val="000000" w:themeColor="text1"/>
        </w:rPr>
        <w:t xml:space="preserve">-biological trajectory was coded as follows: 1 = improvement, 2 = discordant clin better/discordant clin worse, 3 = worsening. Initial </w:t>
      </w:r>
      <w:r w:rsidRPr="005031ED">
        <w:rPr>
          <w:rFonts w:ascii="Calibri" w:eastAsia="Arial" w:hAnsi="Calibri" w:cs="Calibri"/>
          <w:i/>
          <w:iCs/>
          <w:color w:val="000000" w:themeColor="text1"/>
        </w:rPr>
        <w:lastRenderedPageBreak/>
        <w:t>inclination-to-stop ranged from -6 (minimal) to 6 (maximal). In/voluntary receipt of POCT results was coded 1 = POCT rejected, 2 = POCT requested.</w:t>
      </w:r>
      <w:r w:rsidRPr="005031ED">
        <w:rPr>
          <w:rFonts w:ascii="Calibri" w:eastAsia="Arial" w:hAnsi="Calibri" w:cs="Calibri"/>
          <w:color w:val="000000" w:themeColor="text1"/>
        </w:rPr>
        <w:t xml:space="preserve"> </w:t>
      </w:r>
    </w:p>
    <w:p w14:paraId="0E787137" w14:textId="77777777" w:rsidR="007223B2" w:rsidRPr="005031ED" w:rsidRDefault="007223B2" w:rsidP="007223B2">
      <w:pPr>
        <w:spacing w:line="480" w:lineRule="auto"/>
        <w:jc w:val="both"/>
        <w:rPr>
          <w:rFonts w:ascii="Calibri" w:eastAsia="Arial" w:hAnsi="Calibri" w:cs="Calibri"/>
          <w:color w:val="000000" w:themeColor="text1"/>
        </w:rPr>
      </w:pPr>
    </w:p>
    <w:p w14:paraId="3D9C0580"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color w:val="000000" w:themeColor="text1"/>
        </w:rPr>
        <w:t xml:space="preserve"> for the model was 0.605 and </w:t>
      </w:r>
      <w:r w:rsidRPr="005031ED">
        <w:rPr>
          <w:rFonts w:ascii="Calibri" w:eastAsia="Arial" w:hAnsi="Calibri" w:cs="Calibri"/>
          <w:i/>
          <w:iCs/>
          <w:color w:val="000000" w:themeColor="text1"/>
        </w:rPr>
        <w:t>f</w:t>
      </w:r>
      <w:r w:rsidRPr="005031ED">
        <w:rPr>
          <w:rFonts w:ascii="Calibri" w:eastAsia="Arial" w:hAnsi="Calibri" w:cs="Calibri"/>
          <w:i/>
          <w:iCs/>
          <w:color w:val="000000" w:themeColor="text1"/>
          <w:vertAlign w:val="superscript"/>
        </w:rPr>
        <w:t>2</w:t>
      </w:r>
      <w:r w:rsidRPr="005031ED">
        <w:rPr>
          <w:rFonts w:ascii="Calibri" w:eastAsia="Arial" w:hAnsi="Calibri" w:cs="Calibri"/>
          <w:color w:val="000000" w:themeColor="text1"/>
        </w:rPr>
        <w:t xml:space="preserve"> (which is </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w:t>
      </w:r>
      <w:r w:rsidRPr="005031ED">
        <w:rPr>
          <w:rFonts w:ascii="Calibri" w:eastAsia="Arial" w:hAnsi="Calibri" w:cs="Calibri"/>
          <w:color w:val="000000" w:themeColor="text1"/>
        </w:rPr>
        <w:t>1-</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was 1.532 (a very large effect). According to G*Power, we would need at least 16 responses to detect an effect of this size in our analysis (alpha = 0.05, power = 0.95). We noted, however, that the three predictors accounted for different amounts of variance in the data. For example, </w:t>
      </w:r>
      <w:r w:rsidRPr="005031ED">
        <w:rPr>
          <w:rFonts w:ascii="Calibri" w:eastAsia="Arial" w:hAnsi="Calibri" w:cs="Calibri"/>
          <w:i/>
          <w:iCs/>
          <w:color w:val="000000" w:themeColor="text1"/>
        </w:rPr>
        <w:t>initial inclination-to-stop</w:t>
      </w:r>
      <w:r w:rsidRPr="005031ED">
        <w:rPr>
          <w:rFonts w:ascii="Calibri" w:eastAsia="Arial" w:hAnsi="Calibri" w:cs="Calibri"/>
          <w:color w:val="000000" w:themeColor="text1"/>
        </w:rPr>
        <w:t xml:space="preserve"> had a very large effect (Part correlation = 0.555; </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 xml:space="preserve">part </w:t>
      </w:r>
      <w:r w:rsidRPr="005031ED">
        <w:rPr>
          <w:rFonts w:ascii="Calibri" w:eastAsia="Arial" w:hAnsi="Calibri" w:cs="Calibri"/>
          <w:color w:val="000000" w:themeColor="text1"/>
        </w:rPr>
        <w:t xml:space="preserve">= 0.308, </w:t>
      </w:r>
      <w:r w:rsidRPr="005031ED">
        <w:rPr>
          <w:rFonts w:ascii="Calibri" w:eastAsia="Arial" w:hAnsi="Calibri" w:cs="Calibri"/>
          <w:i/>
          <w:iCs/>
          <w:color w:val="000000" w:themeColor="text1"/>
        </w:rPr>
        <w:t>f</w:t>
      </w:r>
      <w:r w:rsidRPr="005031ED">
        <w:rPr>
          <w:rFonts w:ascii="Calibri" w:eastAsia="Arial" w:hAnsi="Calibri" w:cs="Calibri"/>
          <w:i/>
          <w:iCs/>
          <w:color w:val="000000" w:themeColor="text1"/>
          <w:vertAlign w:val="superscript"/>
        </w:rPr>
        <w:t xml:space="preserve">2 </w:t>
      </w:r>
      <w:r w:rsidRPr="005031ED">
        <w:rPr>
          <w:rFonts w:ascii="Calibri" w:eastAsia="Arial" w:hAnsi="Calibri" w:cs="Calibri"/>
          <w:color w:val="000000" w:themeColor="text1"/>
        </w:rPr>
        <w:t>(which is</w:t>
      </w:r>
      <w:r w:rsidRPr="005031ED">
        <w:rPr>
          <w:rFonts w:ascii="Calibri" w:eastAsia="Arial" w:hAnsi="Calibri" w:cs="Calibri"/>
          <w:i/>
          <w:iCs/>
          <w:color w:val="000000" w:themeColor="text1"/>
          <w:vertAlign w:val="superscript"/>
        </w:rPr>
        <w:t xml:space="preserve"> </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part/</w:t>
      </w:r>
      <w:r w:rsidRPr="005031ED">
        <w:rPr>
          <w:rFonts w:ascii="Calibri" w:eastAsia="Arial" w:hAnsi="Calibri" w:cs="Calibri"/>
          <w:color w:val="000000" w:themeColor="text1"/>
        </w:rPr>
        <w:t>1-</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 xml:space="preserve">part) </w:t>
      </w:r>
      <w:r w:rsidRPr="005031ED">
        <w:rPr>
          <w:rFonts w:ascii="Calibri" w:eastAsia="Arial" w:hAnsi="Calibri" w:cs="Calibri"/>
          <w:color w:val="000000" w:themeColor="text1"/>
        </w:rPr>
        <w:t xml:space="preserve">= 0.445, which according to G*Power was replicable with only 32 responses. </w:t>
      </w:r>
      <w:r w:rsidRPr="005031ED">
        <w:rPr>
          <w:rFonts w:ascii="Calibri" w:eastAsia="Arial" w:hAnsi="Calibri" w:cs="Calibri"/>
          <w:i/>
          <w:iCs/>
          <w:color w:val="000000" w:themeColor="text1"/>
        </w:rPr>
        <w:t>In/voluntary receipt of POCT results</w:t>
      </w:r>
      <w:r w:rsidRPr="005031ED">
        <w:rPr>
          <w:rFonts w:ascii="Calibri" w:eastAsia="Arial" w:hAnsi="Calibri" w:cs="Calibri"/>
          <w:color w:val="000000" w:themeColor="text1"/>
        </w:rPr>
        <w:t xml:space="preserve"> however had a smaller effect (Part correlation = 0.156; </w:t>
      </w:r>
      <w:r w:rsidRPr="005031ED">
        <w:rPr>
          <w:rFonts w:ascii="Calibri" w:eastAsia="Arial" w:hAnsi="Calibri" w:cs="Calibri"/>
          <w:i/>
          <w:iCs/>
          <w:color w:val="000000" w:themeColor="text1"/>
        </w:rPr>
        <w:t>R</w:t>
      </w:r>
      <w:r w:rsidRPr="005031ED">
        <w:rPr>
          <w:rFonts w:ascii="Calibri" w:eastAsia="Arial" w:hAnsi="Calibri" w:cs="Calibri"/>
          <w:i/>
          <w:iCs/>
          <w:color w:val="000000" w:themeColor="text1"/>
          <w:vertAlign w:val="superscript"/>
        </w:rPr>
        <w:t>2</w:t>
      </w:r>
      <w:r w:rsidRPr="005031ED">
        <w:rPr>
          <w:rFonts w:ascii="Calibri" w:eastAsia="Arial" w:hAnsi="Calibri" w:cs="Calibri"/>
          <w:i/>
          <w:iCs/>
          <w:color w:val="000000" w:themeColor="text1"/>
        </w:rPr>
        <w:t xml:space="preserve">part </w:t>
      </w:r>
      <w:r w:rsidRPr="005031ED">
        <w:rPr>
          <w:rFonts w:ascii="Calibri" w:eastAsia="Arial" w:hAnsi="Calibri" w:cs="Calibri"/>
          <w:color w:val="000000" w:themeColor="text1"/>
        </w:rPr>
        <w:t xml:space="preserve">= 0.024; </w:t>
      </w:r>
      <w:r w:rsidRPr="005031ED">
        <w:rPr>
          <w:rFonts w:ascii="Calibri" w:eastAsia="Arial" w:hAnsi="Calibri" w:cs="Calibri"/>
          <w:i/>
          <w:iCs/>
          <w:color w:val="000000" w:themeColor="text1"/>
        </w:rPr>
        <w:t>f</w:t>
      </w:r>
      <w:r w:rsidRPr="005031ED">
        <w:rPr>
          <w:rFonts w:ascii="Calibri" w:eastAsia="Arial" w:hAnsi="Calibri" w:cs="Calibri"/>
          <w:i/>
          <w:iCs/>
          <w:color w:val="000000" w:themeColor="text1"/>
          <w:vertAlign w:val="superscript"/>
        </w:rPr>
        <w:t xml:space="preserve">2 </w:t>
      </w:r>
      <w:r w:rsidRPr="005031ED">
        <w:rPr>
          <w:rFonts w:ascii="Calibri" w:eastAsia="Arial" w:hAnsi="Calibri" w:cs="Calibri"/>
          <w:color w:val="000000" w:themeColor="text1"/>
        </w:rPr>
        <w:t>= 0.025), which would require 522 responses. We appreciate therefore that our a priori sample size (</w:t>
      </w:r>
      <w:r w:rsidRPr="005031ED">
        <w:rPr>
          <w:rFonts w:ascii="Calibri" w:eastAsia="Arial" w:hAnsi="Calibri" w:cs="Calibri"/>
          <w:i/>
          <w:iCs/>
          <w:color w:val="000000" w:themeColor="text1"/>
        </w:rPr>
        <w:t xml:space="preserve">N </w:t>
      </w:r>
      <w:r w:rsidRPr="005031ED">
        <w:rPr>
          <w:rFonts w:ascii="Calibri" w:eastAsia="Arial" w:hAnsi="Calibri" w:cs="Calibri"/>
          <w:color w:val="000000" w:themeColor="text1"/>
        </w:rPr>
        <w:t xml:space="preserve">= 55) gave sufficient power to detect the effect of </w:t>
      </w:r>
      <w:r w:rsidRPr="005031ED">
        <w:rPr>
          <w:rFonts w:ascii="Calibri" w:eastAsia="Arial" w:hAnsi="Calibri" w:cs="Calibri"/>
          <w:i/>
          <w:iCs/>
          <w:color w:val="000000" w:themeColor="text1"/>
        </w:rPr>
        <w:t>initial inclination-to-stop</w:t>
      </w:r>
      <w:r w:rsidRPr="005031ED">
        <w:rPr>
          <w:rFonts w:ascii="Calibri" w:eastAsia="Arial" w:hAnsi="Calibri" w:cs="Calibri"/>
          <w:color w:val="000000" w:themeColor="text1"/>
        </w:rPr>
        <w:t>, but not</w:t>
      </w:r>
      <w:r w:rsidRPr="005031ED">
        <w:rPr>
          <w:rFonts w:ascii="Calibri" w:eastAsia="Arial" w:hAnsi="Calibri" w:cs="Calibri"/>
          <w:i/>
          <w:iCs/>
          <w:color w:val="000000" w:themeColor="text1"/>
        </w:rPr>
        <w:t xml:space="preserve"> </w:t>
      </w:r>
      <w:r w:rsidRPr="005031ED">
        <w:rPr>
          <w:rFonts w:ascii="Calibri" w:eastAsia="Arial" w:hAnsi="Calibri" w:cs="Calibri"/>
          <w:color w:val="000000" w:themeColor="text1"/>
        </w:rPr>
        <w:t xml:space="preserve">to detect the smaller individual effects of </w:t>
      </w:r>
      <w:proofErr w:type="spellStart"/>
      <w:r w:rsidRPr="005031ED">
        <w:rPr>
          <w:rFonts w:ascii="Calibri" w:eastAsia="Arial" w:hAnsi="Calibri" w:cs="Calibri"/>
          <w:i/>
          <w:iCs/>
          <w:color w:val="000000" w:themeColor="text1"/>
        </w:rPr>
        <w:t>clinico</w:t>
      </w:r>
      <w:proofErr w:type="spellEnd"/>
      <w:r w:rsidRPr="005031ED">
        <w:rPr>
          <w:rFonts w:ascii="Calibri" w:eastAsia="Arial" w:hAnsi="Calibri" w:cs="Calibri"/>
          <w:i/>
          <w:iCs/>
          <w:color w:val="000000" w:themeColor="text1"/>
        </w:rPr>
        <w:t>-biological trajectory</w:t>
      </w:r>
      <w:r w:rsidRPr="005031ED">
        <w:rPr>
          <w:rFonts w:ascii="Calibri" w:eastAsia="Arial" w:hAnsi="Calibri" w:cs="Calibri"/>
          <w:color w:val="000000" w:themeColor="text1"/>
        </w:rPr>
        <w:t xml:space="preserve"> or </w:t>
      </w:r>
      <w:r w:rsidRPr="005031ED">
        <w:rPr>
          <w:rFonts w:ascii="Calibri" w:eastAsia="Arial" w:hAnsi="Calibri" w:cs="Calibri"/>
          <w:i/>
          <w:iCs/>
          <w:color w:val="000000" w:themeColor="text1"/>
        </w:rPr>
        <w:t>in/voluntary receipt of POCT results</w:t>
      </w:r>
      <w:r w:rsidRPr="005031ED">
        <w:rPr>
          <w:rFonts w:ascii="Calibri" w:eastAsia="Arial" w:hAnsi="Calibri" w:cs="Calibri"/>
          <w:color w:val="000000" w:themeColor="text1"/>
        </w:rPr>
        <w:t>. These can only be investigated in an exploratory way. If they are found to be non-significant, this does not necessarily mean that they had no effect; it is possible that they did have an effect, but we did not have the power to detect it.</w:t>
      </w:r>
    </w:p>
    <w:p w14:paraId="258BD405" w14:textId="77777777" w:rsidR="007223B2" w:rsidRPr="005031ED" w:rsidRDefault="007223B2" w:rsidP="007223B2">
      <w:pPr>
        <w:spacing w:line="480" w:lineRule="auto"/>
        <w:rPr>
          <w:rFonts w:ascii="Calibri" w:eastAsia="Arial" w:hAnsi="Calibri" w:cs="Calibri"/>
          <w:color w:val="000000" w:themeColor="text1"/>
        </w:rPr>
      </w:pPr>
    </w:p>
    <w:p w14:paraId="00519977"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rPr>
        <w:br w:type="page"/>
      </w:r>
    </w:p>
    <w:p w14:paraId="55790EF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rPr>
        <w:lastRenderedPageBreak/>
        <w:t xml:space="preserve">SM4. List of reasons presented to clinicians that elected to stop antibiotics (left) or continue antibiotics </w:t>
      </w:r>
    </w:p>
    <w:p w14:paraId="203F33E8" w14:textId="77777777" w:rsidR="007223B2" w:rsidRPr="005031ED" w:rsidRDefault="007223B2" w:rsidP="007223B2">
      <w:pPr>
        <w:spacing w:line="480" w:lineRule="auto"/>
        <w:rPr>
          <w:rFonts w:ascii="Calibri" w:eastAsia="Arial" w:hAnsi="Calibri" w:cs="Calibri"/>
          <w:color w:val="000000" w:themeColor="text1"/>
        </w:rPr>
      </w:pPr>
    </w:p>
    <w:tbl>
      <w:tblPr>
        <w:tblStyle w:val="TableGrid"/>
        <w:tblW w:w="0" w:type="auto"/>
        <w:tblLayout w:type="fixed"/>
        <w:tblLook w:val="06A0" w:firstRow="1" w:lastRow="0" w:firstColumn="1" w:lastColumn="0" w:noHBand="1" w:noVBand="1"/>
      </w:tblPr>
      <w:tblGrid>
        <w:gridCol w:w="4500"/>
        <w:gridCol w:w="4500"/>
      </w:tblGrid>
      <w:tr w:rsidR="007223B2" w:rsidRPr="005031ED" w14:paraId="475311C8" w14:textId="77777777" w:rsidTr="00351AB7">
        <w:trPr>
          <w:trHeight w:val="54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B712EA"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rPr>
              <w:t>Reasons for STOPPING antibiotics</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5D675D"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b/>
                <w:bCs/>
              </w:rPr>
              <w:t>Reasons for CONTINUING antibiotics</w:t>
            </w:r>
            <w:r w:rsidRPr="005031ED">
              <w:rPr>
                <w:rFonts w:ascii="Calibri" w:eastAsia="Arial" w:hAnsi="Calibri" w:cs="Calibri"/>
              </w:rPr>
              <w:t xml:space="preserve"> </w:t>
            </w:r>
          </w:p>
        </w:tc>
      </w:tr>
      <w:tr w:rsidR="007223B2" w:rsidRPr="005031ED" w14:paraId="1E2C9471" w14:textId="77777777" w:rsidTr="00351AB7">
        <w:trPr>
          <w:trHeight w:val="1260"/>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DE0BEF"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Clinicians that elected to STOP antibiotics were presented with the following list of reasons and asked to tick all that apply:</w:t>
            </w:r>
            <w:r w:rsidRPr="005031ED">
              <w:rPr>
                <w:rFonts w:ascii="Calibri" w:eastAsia="Arial" w:hAnsi="Calibri" w:cs="Calibri"/>
              </w:rPr>
              <w:t xml:space="preserve">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7CA757" w14:textId="77777777" w:rsidR="007223B2" w:rsidRPr="005031ED" w:rsidRDefault="007223B2" w:rsidP="00351AB7">
            <w:pPr>
              <w:spacing w:line="480" w:lineRule="auto"/>
              <w:rPr>
                <w:rFonts w:ascii="Calibri" w:eastAsia="Arial" w:hAnsi="Calibri" w:cs="Calibri"/>
              </w:rPr>
            </w:pPr>
            <w:r w:rsidRPr="005031ED">
              <w:rPr>
                <w:rFonts w:ascii="Calibri" w:eastAsia="Arial" w:hAnsi="Calibri" w:cs="Calibri"/>
                <w:i/>
                <w:iCs/>
              </w:rPr>
              <w:t>Clinicians that elected to CONTINUE antibiotics were presented with the following list of reasons and asked to tick all that apply:</w:t>
            </w:r>
            <w:r w:rsidRPr="005031ED">
              <w:rPr>
                <w:rFonts w:ascii="Calibri" w:eastAsia="Arial" w:hAnsi="Calibri" w:cs="Calibri"/>
              </w:rPr>
              <w:t xml:space="preserve"> </w:t>
            </w:r>
          </w:p>
        </w:tc>
      </w:tr>
      <w:tr w:rsidR="007223B2" w:rsidRPr="005031ED" w14:paraId="6EE4AF18" w14:textId="77777777" w:rsidTr="00351AB7">
        <w:trPr>
          <w:trHeight w:val="4305"/>
        </w:trPr>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4772BE"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Continuing antibiotics could harm the </w:t>
            </w:r>
            <w:proofErr w:type="gramStart"/>
            <w:r w:rsidRPr="005031ED">
              <w:rPr>
                <w:rFonts w:ascii="Calibri" w:eastAsia="Arial" w:hAnsi="Calibri" w:cs="Calibri"/>
              </w:rPr>
              <w:t>patient;</w:t>
            </w:r>
            <w:proofErr w:type="gramEnd"/>
            <w:r w:rsidRPr="005031ED">
              <w:rPr>
                <w:rFonts w:ascii="Calibri" w:eastAsia="Arial" w:hAnsi="Calibri" w:cs="Calibri"/>
              </w:rPr>
              <w:t xml:space="preserve"> </w:t>
            </w:r>
          </w:p>
          <w:p w14:paraId="6309A5A2"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Continuing antibiotics might be viewed as inappropriate by </w:t>
            </w:r>
            <w:proofErr w:type="gramStart"/>
            <w:r w:rsidRPr="005031ED">
              <w:rPr>
                <w:rFonts w:ascii="Calibri" w:eastAsia="Arial" w:hAnsi="Calibri" w:cs="Calibri"/>
              </w:rPr>
              <w:t>colleagues;</w:t>
            </w:r>
            <w:proofErr w:type="gramEnd"/>
            <w:r w:rsidRPr="005031ED">
              <w:rPr>
                <w:rFonts w:ascii="Calibri" w:eastAsia="Arial" w:hAnsi="Calibri" w:cs="Calibri"/>
              </w:rPr>
              <w:t xml:space="preserve">  </w:t>
            </w:r>
          </w:p>
          <w:p w14:paraId="0424240D"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Continuing antibiotics is not clinically necessary based on the information </w:t>
            </w:r>
            <w:proofErr w:type="gramStart"/>
            <w:r w:rsidRPr="005031ED">
              <w:rPr>
                <w:rFonts w:ascii="Calibri" w:eastAsia="Arial" w:hAnsi="Calibri" w:cs="Calibri"/>
              </w:rPr>
              <w:t>provided;</w:t>
            </w:r>
            <w:proofErr w:type="gramEnd"/>
            <w:r w:rsidRPr="005031ED">
              <w:rPr>
                <w:rFonts w:ascii="Calibri" w:eastAsia="Arial" w:hAnsi="Calibri" w:cs="Calibri"/>
              </w:rPr>
              <w:t xml:space="preserve"> </w:t>
            </w:r>
          </w:p>
          <w:p w14:paraId="7987C549"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Continuing antibiotics poses population risks (i.e., antimicrobial resistance</w:t>
            </w:r>
            <w:proofErr w:type="gramStart"/>
            <w:r w:rsidRPr="005031ED">
              <w:rPr>
                <w:rFonts w:ascii="Calibri" w:eastAsia="Arial" w:hAnsi="Calibri" w:cs="Calibri"/>
              </w:rPr>
              <w:t>);</w:t>
            </w:r>
            <w:proofErr w:type="gramEnd"/>
            <w:r w:rsidRPr="005031ED">
              <w:rPr>
                <w:rFonts w:ascii="Calibri" w:eastAsia="Arial" w:hAnsi="Calibri" w:cs="Calibri"/>
              </w:rPr>
              <w:t xml:space="preserve"> </w:t>
            </w:r>
          </w:p>
          <w:p w14:paraId="68A8750F"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proofErr w:type="gramStart"/>
            <w:r w:rsidRPr="005031ED">
              <w:rPr>
                <w:rFonts w:ascii="Calibri" w:eastAsia="Arial" w:hAnsi="Calibri" w:cs="Calibri"/>
              </w:rPr>
              <w:lastRenderedPageBreak/>
              <w:t>Other  (</w:t>
            </w:r>
            <w:proofErr w:type="gramEnd"/>
            <w:r w:rsidRPr="005031ED">
              <w:rPr>
                <w:rFonts w:ascii="Calibri" w:eastAsia="Arial" w:hAnsi="Calibri" w:cs="Calibri"/>
              </w:rPr>
              <w:t xml:space="preserve">if selected, the participant was asked to elaborate using free text). </w:t>
            </w:r>
          </w:p>
        </w:tc>
        <w:tc>
          <w:tcPr>
            <w:tcW w:w="4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9F9DE3"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lastRenderedPageBreak/>
              <w:t xml:space="preserve">Stopping antibiotics could harm the </w:t>
            </w:r>
            <w:proofErr w:type="gramStart"/>
            <w:r w:rsidRPr="005031ED">
              <w:rPr>
                <w:rFonts w:ascii="Calibri" w:eastAsia="Arial" w:hAnsi="Calibri" w:cs="Calibri"/>
              </w:rPr>
              <w:t>patient;</w:t>
            </w:r>
            <w:proofErr w:type="gramEnd"/>
            <w:r w:rsidRPr="005031ED">
              <w:rPr>
                <w:rFonts w:ascii="Calibri" w:eastAsia="Arial" w:hAnsi="Calibri" w:cs="Calibri"/>
              </w:rPr>
              <w:t xml:space="preserve">  </w:t>
            </w:r>
          </w:p>
          <w:p w14:paraId="0378D45A"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Stopping antibiotics might be viewed as inappropriate by </w:t>
            </w:r>
            <w:proofErr w:type="gramStart"/>
            <w:r w:rsidRPr="005031ED">
              <w:rPr>
                <w:rFonts w:ascii="Calibri" w:eastAsia="Arial" w:hAnsi="Calibri" w:cs="Calibri"/>
              </w:rPr>
              <w:t>colleagues;</w:t>
            </w:r>
            <w:proofErr w:type="gramEnd"/>
            <w:r w:rsidRPr="005031ED">
              <w:rPr>
                <w:rFonts w:ascii="Calibri" w:eastAsia="Arial" w:hAnsi="Calibri" w:cs="Calibri"/>
              </w:rPr>
              <w:t xml:space="preserve"> </w:t>
            </w:r>
          </w:p>
          <w:p w14:paraId="4D772DBA"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Stopping antibiotics is inappropriate based on the clinical information </w:t>
            </w:r>
            <w:proofErr w:type="gramStart"/>
            <w:r w:rsidRPr="005031ED">
              <w:rPr>
                <w:rFonts w:ascii="Calibri" w:eastAsia="Arial" w:hAnsi="Calibri" w:cs="Calibri"/>
              </w:rPr>
              <w:t>provided;</w:t>
            </w:r>
            <w:proofErr w:type="gramEnd"/>
            <w:r w:rsidRPr="005031ED">
              <w:rPr>
                <w:rFonts w:ascii="Calibri" w:eastAsia="Arial" w:hAnsi="Calibri" w:cs="Calibri"/>
              </w:rPr>
              <w:t xml:space="preserve">  </w:t>
            </w:r>
          </w:p>
          <w:p w14:paraId="702218C7"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r w:rsidRPr="005031ED">
              <w:rPr>
                <w:rFonts w:ascii="Calibri" w:eastAsia="Arial" w:hAnsi="Calibri" w:cs="Calibri"/>
              </w:rPr>
              <w:t xml:space="preserve">There is relatively minimal harm in continuing </w:t>
            </w:r>
            <w:proofErr w:type="gramStart"/>
            <w:r w:rsidRPr="005031ED">
              <w:rPr>
                <w:rFonts w:ascii="Calibri" w:eastAsia="Arial" w:hAnsi="Calibri" w:cs="Calibri"/>
              </w:rPr>
              <w:t>antibiotics;</w:t>
            </w:r>
            <w:proofErr w:type="gramEnd"/>
            <w:r w:rsidRPr="005031ED">
              <w:rPr>
                <w:rFonts w:ascii="Calibri" w:eastAsia="Arial" w:hAnsi="Calibri" w:cs="Calibri"/>
              </w:rPr>
              <w:t xml:space="preserve"> </w:t>
            </w:r>
          </w:p>
          <w:p w14:paraId="671D6CD2" w14:textId="77777777" w:rsidR="007223B2" w:rsidRPr="005031ED" w:rsidRDefault="007223B2" w:rsidP="007223B2">
            <w:pPr>
              <w:pStyle w:val="ListParagraph"/>
              <w:numPr>
                <w:ilvl w:val="0"/>
                <w:numId w:val="2"/>
              </w:numPr>
              <w:spacing w:line="480" w:lineRule="auto"/>
              <w:rPr>
                <w:rFonts w:ascii="Calibri" w:eastAsiaTheme="minorEastAsia" w:hAnsi="Calibri" w:cs="Calibri"/>
              </w:rPr>
            </w:pPr>
            <w:proofErr w:type="gramStart"/>
            <w:r w:rsidRPr="005031ED">
              <w:rPr>
                <w:rFonts w:ascii="Calibri" w:eastAsia="Arial" w:hAnsi="Calibri" w:cs="Calibri"/>
              </w:rPr>
              <w:t>Other  (</w:t>
            </w:r>
            <w:proofErr w:type="gramEnd"/>
            <w:r w:rsidRPr="005031ED">
              <w:rPr>
                <w:rFonts w:ascii="Calibri" w:eastAsia="Arial" w:hAnsi="Calibri" w:cs="Calibri"/>
              </w:rPr>
              <w:t xml:space="preserve">if selected, the participant was asked to elaborate using free text). </w:t>
            </w:r>
          </w:p>
        </w:tc>
      </w:tr>
    </w:tbl>
    <w:p w14:paraId="561E20C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p w14:paraId="5CDB81D3"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i/>
          <w:iCs/>
          <w:color w:val="000000" w:themeColor="text1"/>
        </w:rPr>
        <w:t xml:space="preserve">Table SM4. List of reasons presented to clinicians that elected to stop antibiotics (left) or continue antibiotics (right). </w:t>
      </w:r>
      <w:r w:rsidRPr="005031ED">
        <w:rPr>
          <w:rFonts w:ascii="Calibri" w:eastAsia="Arial" w:hAnsi="Calibri" w:cs="Calibri"/>
          <w:color w:val="000000" w:themeColor="text1"/>
        </w:rPr>
        <w:t xml:space="preserve">Reasons were presented in a random order and clinicians could select as many as needed. The reasons were developed using the experiences from senior researchers in combination with the exploratory supplementary material from the VAPRapid2 trial. </w:t>
      </w:r>
    </w:p>
    <w:p w14:paraId="6C106333" w14:textId="77777777" w:rsidR="007223B2" w:rsidRPr="005031ED" w:rsidRDefault="007223B2" w:rsidP="007223B2">
      <w:pPr>
        <w:spacing w:before="240" w:line="480" w:lineRule="auto"/>
        <w:rPr>
          <w:rFonts w:ascii="Calibri" w:eastAsia="Calibri Light" w:hAnsi="Calibri" w:cs="Calibri"/>
          <w:color w:val="2F5496" w:themeColor="accent1" w:themeShade="BF"/>
        </w:rPr>
      </w:pPr>
      <w:r w:rsidRPr="005031ED">
        <w:rPr>
          <w:rFonts w:ascii="Calibri" w:hAnsi="Calibri" w:cs="Calibri"/>
        </w:rPr>
        <w:br/>
      </w:r>
    </w:p>
    <w:p w14:paraId="4BBA9CC7" w14:textId="77777777" w:rsidR="007223B2" w:rsidRPr="005031ED" w:rsidRDefault="007223B2" w:rsidP="007223B2">
      <w:pPr>
        <w:spacing w:line="480" w:lineRule="auto"/>
        <w:rPr>
          <w:rFonts w:ascii="Calibri" w:eastAsia="Calibri" w:hAnsi="Calibri" w:cs="Calibri"/>
        </w:rPr>
      </w:pPr>
      <w:r w:rsidRPr="005031ED">
        <w:rPr>
          <w:rFonts w:ascii="Calibri" w:hAnsi="Calibri" w:cs="Calibri"/>
        </w:rPr>
        <w:br w:type="page"/>
      </w:r>
    </w:p>
    <w:p w14:paraId="511D64DE" w14:textId="77777777" w:rsidR="007223B2" w:rsidRPr="005031ED" w:rsidRDefault="007223B2" w:rsidP="007223B2">
      <w:pPr>
        <w:pStyle w:val="Heading1"/>
        <w:spacing w:line="480" w:lineRule="auto"/>
        <w:rPr>
          <w:rFonts w:ascii="Calibri" w:eastAsia="Arial" w:hAnsi="Calibri" w:cs="Calibri"/>
          <w:color w:val="000000" w:themeColor="text1"/>
          <w:sz w:val="24"/>
          <w:szCs w:val="24"/>
        </w:rPr>
      </w:pPr>
      <w:r w:rsidRPr="005031ED">
        <w:rPr>
          <w:rFonts w:ascii="Calibri" w:eastAsia="Arial" w:hAnsi="Calibri" w:cs="Calibri"/>
          <w:b/>
          <w:bCs/>
          <w:color w:val="000000" w:themeColor="text1"/>
          <w:sz w:val="24"/>
          <w:szCs w:val="24"/>
        </w:rPr>
        <w:lastRenderedPageBreak/>
        <w:t xml:space="preserve">SM5. </w:t>
      </w:r>
      <w:proofErr w:type="spellStart"/>
      <w:r w:rsidRPr="005031ED">
        <w:rPr>
          <w:rFonts w:ascii="Calibri" w:eastAsia="Arial" w:hAnsi="Calibri" w:cs="Calibri"/>
          <w:b/>
          <w:bCs/>
          <w:color w:val="000000" w:themeColor="text1"/>
          <w:sz w:val="24"/>
          <w:szCs w:val="24"/>
        </w:rPr>
        <w:t>Grol</w:t>
      </w:r>
      <w:proofErr w:type="spellEnd"/>
      <w:r w:rsidRPr="005031ED">
        <w:rPr>
          <w:rFonts w:ascii="Calibri" w:eastAsia="Arial" w:hAnsi="Calibri" w:cs="Calibri"/>
          <w:b/>
          <w:bCs/>
          <w:color w:val="000000" w:themeColor="text1"/>
          <w:sz w:val="24"/>
          <w:szCs w:val="24"/>
        </w:rPr>
        <w:t xml:space="preserve"> et al.’s Attitudes to Risk-Taking Scale</w:t>
      </w:r>
    </w:p>
    <w:p w14:paraId="6FB38C09" w14:textId="77777777" w:rsidR="007223B2" w:rsidRPr="005031ED" w:rsidRDefault="007223B2" w:rsidP="007223B2">
      <w:pPr>
        <w:spacing w:line="480" w:lineRule="auto"/>
        <w:rPr>
          <w:rFonts w:ascii="Calibri" w:eastAsia="Arial" w:hAnsi="Calibri" w:cs="Calibri"/>
          <w:color w:val="000000" w:themeColor="text1"/>
        </w:rPr>
      </w:pPr>
    </w:p>
    <w:p w14:paraId="56102AFB"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We have made minimal adaptations for a hospital setting. In brackets lie the original wording (15).</w:t>
      </w:r>
    </w:p>
    <w:p w14:paraId="454DC6CF" w14:textId="77777777" w:rsidR="007223B2" w:rsidRPr="005031ED" w:rsidRDefault="007223B2" w:rsidP="007223B2">
      <w:pPr>
        <w:spacing w:line="480" w:lineRule="auto"/>
        <w:rPr>
          <w:rFonts w:ascii="Calibri" w:eastAsia="Arial" w:hAnsi="Calibri" w:cs="Calibri"/>
          <w:color w:val="000000" w:themeColor="text1"/>
        </w:rPr>
      </w:pPr>
    </w:p>
    <w:p w14:paraId="53D0D50E" w14:textId="77777777" w:rsidR="007223B2" w:rsidRPr="005031ED" w:rsidRDefault="007223B2" w:rsidP="007223B2">
      <w:pPr>
        <w:pStyle w:val="ListParagraph"/>
        <w:numPr>
          <w:ilvl w:val="0"/>
          <w:numId w:val="1"/>
        </w:numPr>
        <w:spacing w:line="480" w:lineRule="auto"/>
        <w:rPr>
          <w:rFonts w:ascii="Calibri" w:eastAsiaTheme="minorEastAsia" w:hAnsi="Calibri" w:cs="Calibri"/>
          <w:color w:val="000000" w:themeColor="text1"/>
        </w:rPr>
      </w:pPr>
      <w:r w:rsidRPr="005031ED">
        <w:rPr>
          <w:rFonts w:ascii="Calibri" w:eastAsia="Arial" w:hAnsi="Calibri" w:cs="Calibri"/>
          <w:color w:val="000000" w:themeColor="text1"/>
        </w:rPr>
        <w:t>When in doubt it is preferable to seek an opinion from (refer to) a specialist than to wait and see</w:t>
      </w:r>
    </w:p>
    <w:p w14:paraId="0D8A5C78" w14:textId="77777777" w:rsidR="007223B2" w:rsidRPr="005031ED" w:rsidRDefault="007223B2" w:rsidP="007223B2">
      <w:pPr>
        <w:pStyle w:val="ListParagraph"/>
        <w:numPr>
          <w:ilvl w:val="0"/>
          <w:numId w:val="1"/>
        </w:numPr>
        <w:spacing w:line="480" w:lineRule="auto"/>
        <w:rPr>
          <w:rFonts w:ascii="Calibri" w:eastAsiaTheme="minorEastAsia" w:hAnsi="Calibri" w:cs="Calibri"/>
          <w:color w:val="000000" w:themeColor="text1"/>
        </w:rPr>
      </w:pPr>
      <w:r w:rsidRPr="005031ED">
        <w:rPr>
          <w:rFonts w:ascii="Calibri" w:eastAsia="Arial" w:hAnsi="Calibri" w:cs="Calibri"/>
          <w:color w:val="000000" w:themeColor="text1"/>
        </w:rPr>
        <w:t xml:space="preserve">A clinician (GP) must prefer the certain to the uncertain </w:t>
      </w:r>
    </w:p>
    <w:p w14:paraId="100A2E08" w14:textId="77777777" w:rsidR="007223B2" w:rsidRPr="005031ED" w:rsidRDefault="007223B2" w:rsidP="007223B2">
      <w:pPr>
        <w:pStyle w:val="ListParagraph"/>
        <w:numPr>
          <w:ilvl w:val="0"/>
          <w:numId w:val="1"/>
        </w:numPr>
        <w:spacing w:line="480" w:lineRule="auto"/>
        <w:rPr>
          <w:rFonts w:ascii="Calibri" w:eastAsiaTheme="minorEastAsia" w:hAnsi="Calibri" w:cs="Calibri"/>
          <w:color w:val="000000" w:themeColor="text1"/>
        </w:rPr>
      </w:pPr>
      <w:r w:rsidRPr="005031ED">
        <w:rPr>
          <w:rFonts w:ascii="Calibri" w:eastAsia="Arial" w:hAnsi="Calibri" w:cs="Calibri"/>
          <w:color w:val="000000" w:themeColor="text1"/>
        </w:rPr>
        <w:t>A clinician (GP) must not take any risks with physical illness</w:t>
      </w:r>
    </w:p>
    <w:p w14:paraId="7194927D" w14:textId="77777777" w:rsidR="007223B2" w:rsidRPr="005031ED" w:rsidRDefault="007223B2" w:rsidP="007223B2">
      <w:pPr>
        <w:pStyle w:val="ListParagraph"/>
        <w:numPr>
          <w:ilvl w:val="0"/>
          <w:numId w:val="1"/>
        </w:numPr>
        <w:spacing w:line="480" w:lineRule="auto"/>
        <w:rPr>
          <w:rFonts w:ascii="Calibri" w:eastAsiaTheme="minorEastAsia" w:hAnsi="Calibri" w:cs="Calibri"/>
          <w:color w:val="000000" w:themeColor="text1"/>
        </w:rPr>
      </w:pPr>
      <w:r w:rsidRPr="005031ED">
        <w:rPr>
          <w:rFonts w:ascii="Calibri" w:eastAsia="Arial" w:hAnsi="Calibri" w:cs="Calibri"/>
          <w:color w:val="000000" w:themeColor="text1"/>
        </w:rPr>
        <w:t xml:space="preserve">For physical complaints, a clinician (GP) should do everything possible to establish the cause of a complaint </w:t>
      </w:r>
    </w:p>
    <w:p w14:paraId="6BC4BE58" w14:textId="77777777" w:rsidR="007223B2" w:rsidRPr="005031ED" w:rsidRDefault="007223B2" w:rsidP="007223B2">
      <w:pPr>
        <w:pStyle w:val="ListParagraph"/>
        <w:numPr>
          <w:ilvl w:val="0"/>
          <w:numId w:val="1"/>
        </w:numPr>
        <w:spacing w:line="480" w:lineRule="auto"/>
        <w:rPr>
          <w:rFonts w:ascii="Calibri" w:eastAsiaTheme="minorEastAsia" w:hAnsi="Calibri" w:cs="Calibri"/>
          <w:color w:val="000000" w:themeColor="text1"/>
        </w:rPr>
      </w:pPr>
      <w:r w:rsidRPr="005031ED">
        <w:rPr>
          <w:rFonts w:ascii="Calibri" w:eastAsia="Arial" w:hAnsi="Calibri" w:cs="Calibri"/>
          <w:color w:val="000000" w:themeColor="text1"/>
        </w:rPr>
        <w:t>As a clinician (GP) you must always be aware that each complaint can be the beginning of a deterioration (serious disease)</w:t>
      </w:r>
    </w:p>
    <w:p w14:paraId="75C71666" w14:textId="77777777" w:rsidR="007223B2" w:rsidRPr="005031ED" w:rsidRDefault="007223B2" w:rsidP="007223B2">
      <w:pPr>
        <w:spacing w:line="480" w:lineRule="auto"/>
        <w:ind w:left="720"/>
        <w:rPr>
          <w:rFonts w:ascii="Calibri" w:eastAsia="Arial" w:hAnsi="Calibri" w:cs="Calibri"/>
          <w:color w:val="000000" w:themeColor="text1"/>
        </w:rPr>
      </w:pPr>
    </w:p>
    <w:p w14:paraId="71B33E90"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Participants indicated their agreement with item on a 5-point scale ranging from 1 = </w:t>
      </w:r>
      <w:r w:rsidRPr="005031ED">
        <w:rPr>
          <w:rFonts w:ascii="Calibri" w:eastAsia="Arial" w:hAnsi="Calibri" w:cs="Calibri"/>
          <w:i/>
          <w:iCs/>
          <w:color w:val="000000" w:themeColor="text1"/>
        </w:rPr>
        <w:t>strongly disagree</w:t>
      </w:r>
      <w:r w:rsidRPr="005031ED">
        <w:rPr>
          <w:rFonts w:ascii="Calibri" w:eastAsia="Arial" w:hAnsi="Calibri" w:cs="Calibri"/>
          <w:color w:val="000000" w:themeColor="text1"/>
        </w:rPr>
        <w:t xml:space="preserve"> to 5 = </w:t>
      </w:r>
      <w:r w:rsidRPr="005031ED">
        <w:rPr>
          <w:rFonts w:ascii="Calibri" w:eastAsia="Arial" w:hAnsi="Calibri" w:cs="Calibri"/>
          <w:i/>
          <w:iCs/>
          <w:color w:val="000000" w:themeColor="text1"/>
        </w:rPr>
        <w:t>strongly agree</w:t>
      </w:r>
      <w:r w:rsidRPr="005031ED">
        <w:rPr>
          <w:rFonts w:ascii="Calibri" w:eastAsia="Arial" w:hAnsi="Calibri" w:cs="Calibri"/>
          <w:color w:val="000000" w:themeColor="text1"/>
        </w:rPr>
        <w:t>.</w:t>
      </w:r>
    </w:p>
    <w:p w14:paraId="04740FBB" w14:textId="77777777" w:rsidR="007223B2" w:rsidRPr="005031ED" w:rsidRDefault="007223B2" w:rsidP="007223B2">
      <w:pPr>
        <w:spacing w:line="480" w:lineRule="auto"/>
        <w:rPr>
          <w:rFonts w:ascii="Calibri" w:eastAsia="Arial" w:hAnsi="Calibri" w:cs="Calibri"/>
          <w:color w:val="000000" w:themeColor="text1"/>
        </w:rPr>
      </w:pPr>
    </w:p>
    <w:p w14:paraId="738C1E52" w14:textId="77777777" w:rsidR="007223B2" w:rsidRPr="005031ED" w:rsidRDefault="007223B2" w:rsidP="007223B2">
      <w:pPr>
        <w:spacing w:line="480" w:lineRule="auto"/>
        <w:rPr>
          <w:rFonts w:ascii="Calibri" w:eastAsia="Arial" w:hAnsi="Calibri" w:cs="Calibri"/>
          <w:color w:val="000000" w:themeColor="text1"/>
        </w:rPr>
      </w:pPr>
    </w:p>
    <w:p w14:paraId="6174222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rPr>
        <w:br w:type="page"/>
      </w:r>
    </w:p>
    <w:p w14:paraId="3F4E2D05"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rPr>
        <w:lastRenderedPageBreak/>
        <w:t>SM6. Sample characteristics</w:t>
      </w:r>
      <w:r w:rsidRPr="005031ED">
        <w:rPr>
          <w:rFonts w:ascii="Calibri" w:hAnsi="Calibri" w:cs="Calibri"/>
        </w:rPr>
        <w:br/>
      </w:r>
    </w:p>
    <w:tbl>
      <w:tblPr>
        <w:tblStyle w:val="TableGrid"/>
        <w:tblW w:w="0" w:type="auto"/>
        <w:tblLayout w:type="fixed"/>
        <w:tblLook w:val="06A0" w:firstRow="1" w:lastRow="0" w:firstColumn="1" w:lastColumn="0" w:noHBand="1" w:noVBand="1"/>
      </w:tblPr>
      <w:tblGrid>
        <w:gridCol w:w="3000"/>
        <w:gridCol w:w="3000"/>
        <w:gridCol w:w="3000"/>
      </w:tblGrid>
      <w:tr w:rsidR="007223B2" w:rsidRPr="005031ED" w14:paraId="412A4033" w14:textId="77777777" w:rsidTr="00351AB7">
        <w:trPr>
          <w:trHeight w:val="540"/>
        </w:trPr>
        <w:tc>
          <w:tcPr>
            <w:tcW w:w="3000" w:type="dxa"/>
            <w:tcBorders>
              <w:top w:val="single" w:sz="6" w:space="0" w:color="000000" w:themeColor="text1"/>
              <w:left w:val="single" w:sz="6" w:space="0" w:color="000000" w:themeColor="text1"/>
            </w:tcBorders>
            <w:shd w:val="clear" w:color="auto" w:fill="D9D9D9" w:themeFill="background1" w:themeFillShade="D9"/>
            <w:vAlign w:val="center"/>
          </w:tcPr>
          <w:p w14:paraId="3521FB46"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u w:val="single"/>
              </w:rPr>
              <w:t>Gender</w:t>
            </w:r>
            <w:r w:rsidRPr="005031ED">
              <w:rPr>
                <w:rFonts w:ascii="Calibri" w:eastAsia="Arial" w:hAnsi="Calibri" w:cs="Calibri"/>
              </w:rPr>
              <w:t xml:space="preserve"> </w:t>
            </w:r>
          </w:p>
        </w:tc>
        <w:tc>
          <w:tcPr>
            <w:tcW w:w="3000" w:type="dxa"/>
            <w:tcBorders>
              <w:top w:val="single" w:sz="6" w:space="0" w:color="000000" w:themeColor="text1"/>
            </w:tcBorders>
            <w:shd w:val="clear" w:color="auto" w:fill="D9D9D9" w:themeFill="background1" w:themeFillShade="D9"/>
            <w:vAlign w:val="center"/>
          </w:tcPr>
          <w:p w14:paraId="73B179D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u w:val="single"/>
              </w:rPr>
              <w:t>n (%)</w:t>
            </w:r>
            <w:r w:rsidRPr="005031ED">
              <w:rPr>
                <w:rFonts w:ascii="Calibri" w:eastAsia="Arial" w:hAnsi="Calibri" w:cs="Calibri"/>
              </w:rPr>
              <w:t xml:space="preserve"> </w:t>
            </w:r>
          </w:p>
        </w:tc>
        <w:tc>
          <w:tcPr>
            <w:tcW w:w="3000" w:type="dxa"/>
            <w:tcBorders>
              <w:top w:val="single" w:sz="6" w:space="0" w:color="000000" w:themeColor="text1"/>
              <w:right w:val="single" w:sz="6" w:space="0" w:color="000000" w:themeColor="text1"/>
            </w:tcBorders>
            <w:shd w:val="clear" w:color="auto" w:fill="D9D9D9" w:themeFill="background1" w:themeFillShade="D9"/>
            <w:vAlign w:val="center"/>
          </w:tcPr>
          <w:p w14:paraId="7A9BAC3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i/>
                <w:iCs/>
                <w:u w:val="single"/>
              </w:rPr>
              <w:t>M</w:t>
            </w:r>
            <w:r w:rsidRPr="005031ED">
              <w:rPr>
                <w:rFonts w:ascii="Calibri" w:eastAsia="Arial" w:hAnsi="Calibri" w:cs="Calibri"/>
                <w:b/>
                <w:bCs/>
                <w:u w:val="single"/>
              </w:rPr>
              <w:t xml:space="preserve"> (</w:t>
            </w:r>
            <w:r w:rsidRPr="005031ED">
              <w:rPr>
                <w:rFonts w:ascii="Calibri" w:eastAsia="Arial" w:hAnsi="Calibri" w:cs="Calibri"/>
                <w:b/>
                <w:bCs/>
                <w:i/>
                <w:iCs/>
                <w:u w:val="single"/>
              </w:rPr>
              <w:t>SD),</w:t>
            </w:r>
            <w:r w:rsidRPr="005031ED">
              <w:rPr>
                <w:rFonts w:ascii="Calibri" w:eastAsia="Arial" w:hAnsi="Calibri" w:cs="Calibri"/>
                <w:b/>
                <w:bCs/>
                <w:u w:val="single"/>
              </w:rPr>
              <w:t xml:space="preserve"> range</w:t>
            </w:r>
            <w:r w:rsidRPr="005031ED">
              <w:rPr>
                <w:rFonts w:ascii="Calibri" w:eastAsia="Arial" w:hAnsi="Calibri" w:cs="Calibri"/>
              </w:rPr>
              <w:t xml:space="preserve"> </w:t>
            </w:r>
          </w:p>
        </w:tc>
      </w:tr>
      <w:tr w:rsidR="007223B2" w:rsidRPr="005031ED" w14:paraId="26F1EB8C" w14:textId="77777777" w:rsidTr="00351AB7">
        <w:trPr>
          <w:trHeight w:val="540"/>
        </w:trPr>
        <w:tc>
          <w:tcPr>
            <w:tcW w:w="3000" w:type="dxa"/>
            <w:tcBorders>
              <w:left w:val="single" w:sz="6" w:space="0" w:color="000000" w:themeColor="text1"/>
            </w:tcBorders>
            <w:vAlign w:val="center"/>
          </w:tcPr>
          <w:p w14:paraId="0CEDC15E"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Male  </w:t>
            </w:r>
          </w:p>
        </w:tc>
        <w:tc>
          <w:tcPr>
            <w:tcW w:w="3000" w:type="dxa"/>
            <w:vAlign w:val="center"/>
          </w:tcPr>
          <w:p w14:paraId="181FE8A6"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36 (51%) </w:t>
            </w:r>
          </w:p>
        </w:tc>
        <w:tc>
          <w:tcPr>
            <w:tcW w:w="3000" w:type="dxa"/>
            <w:tcBorders>
              <w:right w:val="single" w:sz="6" w:space="0" w:color="000000" w:themeColor="text1"/>
            </w:tcBorders>
            <w:vAlign w:val="center"/>
          </w:tcPr>
          <w:p w14:paraId="1B2CF64F"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3EA2D21E" w14:textId="77777777" w:rsidTr="00351AB7">
        <w:trPr>
          <w:trHeight w:val="540"/>
        </w:trPr>
        <w:tc>
          <w:tcPr>
            <w:tcW w:w="3000" w:type="dxa"/>
            <w:tcBorders>
              <w:left w:val="single" w:sz="6" w:space="0" w:color="000000" w:themeColor="text1"/>
            </w:tcBorders>
            <w:vAlign w:val="center"/>
          </w:tcPr>
          <w:p w14:paraId="29E6323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Female  </w:t>
            </w:r>
          </w:p>
        </w:tc>
        <w:tc>
          <w:tcPr>
            <w:tcW w:w="3000" w:type="dxa"/>
            <w:vAlign w:val="center"/>
          </w:tcPr>
          <w:p w14:paraId="7F20AE48"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25 (36%) </w:t>
            </w:r>
          </w:p>
        </w:tc>
        <w:tc>
          <w:tcPr>
            <w:tcW w:w="3000" w:type="dxa"/>
            <w:tcBorders>
              <w:right w:val="single" w:sz="6" w:space="0" w:color="000000" w:themeColor="text1"/>
            </w:tcBorders>
            <w:vAlign w:val="center"/>
          </w:tcPr>
          <w:p w14:paraId="23CB059B"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01ADFD00" w14:textId="77777777" w:rsidTr="00351AB7">
        <w:trPr>
          <w:trHeight w:val="540"/>
        </w:trPr>
        <w:tc>
          <w:tcPr>
            <w:tcW w:w="3000" w:type="dxa"/>
            <w:tcBorders>
              <w:left w:val="single" w:sz="6" w:space="0" w:color="000000" w:themeColor="text1"/>
            </w:tcBorders>
            <w:vAlign w:val="center"/>
          </w:tcPr>
          <w:p w14:paraId="0763955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Prefer not to say  </w:t>
            </w:r>
          </w:p>
        </w:tc>
        <w:tc>
          <w:tcPr>
            <w:tcW w:w="3000" w:type="dxa"/>
            <w:vAlign w:val="center"/>
          </w:tcPr>
          <w:p w14:paraId="1264757C"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 (1%) </w:t>
            </w:r>
          </w:p>
        </w:tc>
        <w:tc>
          <w:tcPr>
            <w:tcW w:w="3000" w:type="dxa"/>
            <w:tcBorders>
              <w:right w:val="single" w:sz="6" w:space="0" w:color="000000" w:themeColor="text1"/>
            </w:tcBorders>
            <w:vAlign w:val="center"/>
          </w:tcPr>
          <w:p w14:paraId="32FBD1D7"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5F510CF5" w14:textId="77777777" w:rsidTr="00351AB7">
        <w:trPr>
          <w:trHeight w:val="540"/>
        </w:trPr>
        <w:tc>
          <w:tcPr>
            <w:tcW w:w="3000" w:type="dxa"/>
            <w:tcBorders>
              <w:left w:val="single" w:sz="6" w:space="0" w:color="000000" w:themeColor="text1"/>
              <w:bottom w:val="single" w:sz="6" w:space="0" w:color="000000" w:themeColor="text1"/>
            </w:tcBorders>
            <w:vAlign w:val="center"/>
          </w:tcPr>
          <w:p w14:paraId="0ACF9EF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Missing  </w:t>
            </w:r>
          </w:p>
        </w:tc>
        <w:tc>
          <w:tcPr>
            <w:tcW w:w="3000" w:type="dxa"/>
            <w:tcBorders>
              <w:bottom w:val="single" w:sz="6" w:space="0" w:color="000000" w:themeColor="text1"/>
            </w:tcBorders>
            <w:vAlign w:val="center"/>
          </w:tcPr>
          <w:p w14:paraId="5A11A1BA"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8 (11%) </w:t>
            </w:r>
          </w:p>
        </w:tc>
        <w:tc>
          <w:tcPr>
            <w:tcW w:w="3000" w:type="dxa"/>
            <w:tcBorders>
              <w:bottom w:val="single" w:sz="6" w:space="0" w:color="000000" w:themeColor="text1"/>
              <w:right w:val="single" w:sz="6" w:space="0" w:color="000000" w:themeColor="text1"/>
            </w:tcBorders>
            <w:vAlign w:val="center"/>
          </w:tcPr>
          <w:p w14:paraId="7176380C"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4960171A" w14:textId="77777777" w:rsidTr="00351AB7">
        <w:trPr>
          <w:trHeight w:val="540"/>
        </w:trPr>
        <w:tc>
          <w:tcPr>
            <w:tcW w:w="3000" w:type="dxa"/>
            <w:tcBorders>
              <w:top w:val="single" w:sz="6" w:space="0" w:color="000000" w:themeColor="text1"/>
              <w:left w:val="single" w:sz="6" w:space="0" w:color="000000" w:themeColor="text1"/>
            </w:tcBorders>
            <w:shd w:val="clear" w:color="auto" w:fill="D9D9D9" w:themeFill="background1" w:themeFillShade="D9"/>
            <w:vAlign w:val="center"/>
          </w:tcPr>
          <w:p w14:paraId="436B02B9"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u w:val="single"/>
              </w:rPr>
              <w:t>Grade</w:t>
            </w:r>
            <w:r w:rsidRPr="005031ED">
              <w:rPr>
                <w:rFonts w:ascii="Calibri" w:eastAsia="Arial" w:hAnsi="Calibri" w:cs="Calibri"/>
              </w:rPr>
              <w:t xml:space="preserve"> </w:t>
            </w:r>
          </w:p>
        </w:tc>
        <w:tc>
          <w:tcPr>
            <w:tcW w:w="3000" w:type="dxa"/>
            <w:tcBorders>
              <w:top w:val="single" w:sz="6" w:space="0" w:color="000000" w:themeColor="text1"/>
            </w:tcBorders>
            <w:shd w:val="clear" w:color="auto" w:fill="D9D9D9" w:themeFill="background1" w:themeFillShade="D9"/>
            <w:vAlign w:val="center"/>
          </w:tcPr>
          <w:p w14:paraId="7B544660"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c>
          <w:tcPr>
            <w:tcW w:w="3000" w:type="dxa"/>
            <w:tcBorders>
              <w:top w:val="single" w:sz="6" w:space="0" w:color="000000" w:themeColor="text1"/>
              <w:right w:val="single" w:sz="6" w:space="0" w:color="000000" w:themeColor="text1"/>
            </w:tcBorders>
            <w:shd w:val="clear" w:color="auto" w:fill="D9D9D9" w:themeFill="background1" w:themeFillShade="D9"/>
            <w:vAlign w:val="center"/>
          </w:tcPr>
          <w:p w14:paraId="6B1CC28A"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0C9AA83F" w14:textId="77777777" w:rsidTr="00351AB7">
        <w:trPr>
          <w:trHeight w:val="540"/>
        </w:trPr>
        <w:tc>
          <w:tcPr>
            <w:tcW w:w="3000" w:type="dxa"/>
            <w:tcBorders>
              <w:left w:val="single" w:sz="6" w:space="0" w:color="000000" w:themeColor="text1"/>
            </w:tcBorders>
            <w:vAlign w:val="center"/>
          </w:tcPr>
          <w:p w14:paraId="06631ABD"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Consultant  </w:t>
            </w:r>
          </w:p>
        </w:tc>
        <w:tc>
          <w:tcPr>
            <w:tcW w:w="3000" w:type="dxa"/>
            <w:vAlign w:val="center"/>
          </w:tcPr>
          <w:p w14:paraId="2305736B"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18 (26%) </w:t>
            </w:r>
          </w:p>
        </w:tc>
        <w:tc>
          <w:tcPr>
            <w:tcW w:w="3000" w:type="dxa"/>
            <w:tcBorders>
              <w:right w:val="single" w:sz="6" w:space="0" w:color="000000" w:themeColor="text1"/>
            </w:tcBorders>
            <w:vAlign w:val="center"/>
          </w:tcPr>
          <w:p w14:paraId="23299089"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0D0BE9F0" w14:textId="77777777" w:rsidTr="00351AB7">
        <w:trPr>
          <w:trHeight w:val="540"/>
        </w:trPr>
        <w:tc>
          <w:tcPr>
            <w:tcW w:w="3000" w:type="dxa"/>
            <w:tcBorders>
              <w:left w:val="single" w:sz="6" w:space="0" w:color="000000" w:themeColor="text1"/>
            </w:tcBorders>
            <w:vAlign w:val="center"/>
          </w:tcPr>
          <w:p w14:paraId="24352F83" w14:textId="77777777" w:rsidR="007223B2" w:rsidRPr="005031ED" w:rsidRDefault="007223B2" w:rsidP="00351AB7">
            <w:pPr>
              <w:spacing w:line="480" w:lineRule="auto"/>
              <w:jc w:val="both"/>
              <w:rPr>
                <w:rFonts w:ascii="Calibri" w:eastAsia="Arial" w:hAnsi="Calibri" w:cs="Calibri"/>
              </w:rPr>
            </w:pPr>
            <w:proofErr w:type="spellStart"/>
            <w:r w:rsidRPr="005031ED">
              <w:rPr>
                <w:rFonts w:ascii="Calibri" w:eastAsia="Arial" w:hAnsi="Calibri" w:cs="Calibri"/>
              </w:rPr>
              <w:t>SpR</w:t>
            </w:r>
            <w:proofErr w:type="spellEnd"/>
            <w:r w:rsidRPr="005031ED">
              <w:rPr>
                <w:rFonts w:ascii="Calibri" w:eastAsia="Arial" w:hAnsi="Calibri" w:cs="Calibri"/>
              </w:rPr>
              <w:t xml:space="preserve"> trainee  </w:t>
            </w:r>
          </w:p>
        </w:tc>
        <w:tc>
          <w:tcPr>
            <w:tcW w:w="3000" w:type="dxa"/>
            <w:vAlign w:val="center"/>
          </w:tcPr>
          <w:p w14:paraId="276C7807"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16 (23%) </w:t>
            </w:r>
          </w:p>
        </w:tc>
        <w:tc>
          <w:tcPr>
            <w:tcW w:w="3000" w:type="dxa"/>
            <w:tcBorders>
              <w:right w:val="single" w:sz="6" w:space="0" w:color="000000" w:themeColor="text1"/>
            </w:tcBorders>
            <w:vAlign w:val="center"/>
          </w:tcPr>
          <w:p w14:paraId="07456A4E"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1F0FE2CF" w14:textId="77777777" w:rsidTr="00351AB7">
        <w:trPr>
          <w:trHeight w:val="540"/>
        </w:trPr>
        <w:tc>
          <w:tcPr>
            <w:tcW w:w="3000" w:type="dxa"/>
            <w:tcBorders>
              <w:left w:val="single" w:sz="6" w:space="0" w:color="000000" w:themeColor="text1"/>
            </w:tcBorders>
            <w:vAlign w:val="center"/>
          </w:tcPr>
          <w:p w14:paraId="1D1A4720"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SHO trainee  </w:t>
            </w:r>
          </w:p>
        </w:tc>
        <w:tc>
          <w:tcPr>
            <w:tcW w:w="3000" w:type="dxa"/>
            <w:vAlign w:val="center"/>
          </w:tcPr>
          <w:p w14:paraId="14274D2D"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17 (24%) </w:t>
            </w:r>
          </w:p>
        </w:tc>
        <w:tc>
          <w:tcPr>
            <w:tcW w:w="3000" w:type="dxa"/>
            <w:tcBorders>
              <w:right w:val="single" w:sz="6" w:space="0" w:color="000000" w:themeColor="text1"/>
            </w:tcBorders>
            <w:vAlign w:val="center"/>
          </w:tcPr>
          <w:p w14:paraId="42C873D1"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7DB32B1D" w14:textId="77777777" w:rsidTr="00351AB7">
        <w:trPr>
          <w:trHeight w:val="540"/>
        </w:trPr>
        <w:tc>
          <w:tcPr>
            <w:tcW w:w="3000" w:type="dxa"/>
            <w:tcBorders>
              <w:left w:val="single" w:sz="6" w:space="0" w:color="000000" w:themeColor="text1"/>
            </w:tcBorders>
            <w:vAlign w:val="center"/>
          </w:tcPr>
          <w:p w14:paraId="3F7CD66C"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FY trainee  </w:t>
            </w:r>
          </w:p>
        </w:tc>
        <w:tc>
          <w:tcPr>
            <w:tcW w:w="3000" w:type="dxa"/>
            <w:vAlign w:val="center"/>
          </w:tcPr>
          <w:p w14:paraId="333AC20E"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11 (16%) </w:t>
            </w:r>
          </w:p>
        </w:tc>
        <w:tc>
          <w:tcPr>
            <w:tcW w:w="3000" w:type="dxa"/>
            <w:tcBorders>
              <w:right w:val="single" w:sz="6" w:space="0" w:color="000000" w:themeColor="text1"/>
            </w:tcBorders>
            <w:vAlign w:val="center"/>
          </w:tcPr>
          <w:p w14:paraId="70335E3D"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3D9FA90D" w14:textId="77777777" w:rsidTr="00351AB7">
        <w:trPr>
          <w:trHeight w:val="540"/>
        </w:trPr>
        <w:tc>
          <w:tcPr>
            <w:tcW w:w="3000" w:type="dxa"/>
            <w:tcBorders>
              <w:left w:val="single" w:sz="6" w:space="0" w:color="000000" w:themeColor="text1"/>
              <w:bottom w:val="single" w:sz="6" w:space="0" w:color="000000" w:themeColor="text1"/>
            </w:tcBorders>
            <w:vAlign w:val="center"/>
          </w:tcPr>
          <w:p w14:paraId="5D89F989"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Missing  </w:t>
            </w:r>
          </w:p>
        </w:tc>
        <w:tc>
          <w:tcPr>
            <w:tcW w:w="3000" w:type="dxa"/>
            <w:tcBorders>
              <w:bottom w:val="single" w:sz="6" w:space="0" w:color="000000" w:themeColor="text1"/>
            </w:tcBorders>
            <w:vAlign w:val="center"/>
          </w:tcPr>
          <w:p w14:paraId="1136DC4E"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8 (11%) </w:t>
            </w:r>
          </w:p>
        </w:tc>
        <w:tc>
          <w:tcPr>
            <w:tcW w:w="3000" w:type="dxa"/>
            <w:tcBorders>
              <w:bottom w:val="single" w:sz="6" w:space="0" w:color="000000" w:themeColor="text1"/>
              <w:right w:val="single" w:sz="6" w:space="0" w:color="000000" w:themeColor="text1"/>
            </w:tcBorders>
            <w:vAlign w:val="center"/>
          </w:tcPr>
          <w:p w14:paraId="00AE6685"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29D71291" w14:textId="77777777" w:rsidTr="00351AB7">
        <w:trPr>
          <w:trHeight w:val="630"/>
        </w:trPr>
        <w:tc>
          <w:tcPr>
            <w:tcW w:w="3000" w:type="dxa"/>
            <w:tcBorders>
              <w:top w:val="single" w:sz="6" w:space="0" w:color="000000" w:themeColor="text1"/>
              <w:left w:val="single" w:sz="6" w:space="0" w:color="000000" w:themeColor="text1"/>
            </w:tcBorders>
            <w:shd w:val="clear" w:color="auto" w:fill="D9D9D9" w:themeFill="background1" w:themeFillShade="D9"/>
            <w:vAlign w:val="center"/>
          </w:tcPr>
          <w:p w14:paraId="31251C0F"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u w:val="single"/>
              </w:rPr>
              <w:t xml:space="preserve">Experience: </w:t>
            </w:r>
            <w:proofErr w:type="spellStart"/>
            <w:r w:rsidRPr="005031ED">
              <w:rPr>
                <w:rFonts w:ascii="Calibri" w:eastAsia="Arial" w:hAnsi="Calibri" w:cs="Calibri"/>
                <w:b/>
                <w:bCs/>
                <w:u w:val="single"/>
              </w:rPr>
              <w:t>consultants</w:t>
            </w:r>
            <w:r w:rsidRPr="005031ED">
              <w:rPr>
                <w:rFonts w:ascii="Calibri" w:eastAsia="Arial" w:hAnsi="Calibri" w:cs="Calibri"/>
                <w:b/>
                <w:bCs/>
                <w:u w:val="single"/>
                <w:vertAlign w:val="superscript"/>
              </w:rPr>
              <w:t>a</w:t>
            </w:r>
            <w:proofErr w:type="spellEnd"/>
            <w:r w:rsidRPr="005031ED">
              <w:rPr>
                <w:rFonts w:ascii="Calibri" w:eastAsia="Arial" w:hAnsi="Calibri" w:cs="Calibri"/>
              </w:rPr>
              <w:t xml:space="preserve"> </w:t>
            </w:r>
          </w:p>
        </w:tc>
        <w:tc>
          <w:tcPr>
            <w:tcW w:w="3000" w:type="dxa"/>
            <w:tcBorders>
              <w:top w:val="single" w:sz="6" w:space="0" w:color="000000" w:themeColor="text1"/>
            </w:tcBorders>
            <w:shd w:val="clear" w:color="auto" w:fill="D9D9D9" w:themeFill="background1" w:themeFillShade="D9"/>
            <w:vAlign w:val="center"/>
          </w:tcPr>
          <w:p w14:paraId="77B24390"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c>
          <w:tcPr>
            <w:tcW w:w="3000" w:type="dxa"/>
            <w:tcBorders>
              <w:top w:val="single" w:sz="6" w:space="0" w:color="000000" w:themeColor="text1"/>
              <w:right w:val="single" w:sz="6" w:space="0" w:color="000000" w:themeColor="text1"/>
            </w:tcBorders>
            <w:shd w:val="clear" w:color="auto" w:fill="D9D9D9" w:themeFill="background1" w:themeFillShade="D9"/>
            <w:vAlign w:val="center"/>
          </w:tcPr>
          <w:p w14:paraId="0CD6DC88"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23BD804A" w14:textId="77777777" w:rsidTr="00351AB7">
        <w:trPr>
          <w:trHeight w:val="1065"/>
        </w:trPr>
        <w:tc>
          <w:tcPr>
            <w:tcW w:w="3000" w:type="dxa"/>
            <w:tcBorders>
              <w:left w:val="single" w:sz="6" w:space="0" w:color="000000" w:themeColor="text1"/>
              <w:bottom w:val="single" w:sz="6" w:space="0" w:color="000000" w:themeColor="text1"/>
            </w:tcBorders>
            <w:vAlign w:val="center"/>
          </w:tcPr>
          <w:p w14:paraId="3AF01141"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Number of years since consultancy awarded  </w:t>
            </w:r>
          </w:p>
        </w:tc>
        <w:tc>
          <w:tcPr>
            <w:tcW w:w="3000" w:type="dxa"/>
            <w:tcBorders>
              <w:bottom w:val="single" w:sz="6" w:space="0" w:color="000000" w:themeColor="text1"/>
            </w:tcBorders>
            <w:vAlign w:val="center"/>
          </w:tcPr>
          <w:p w14:paraId="26D2B684"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c>
          <w:tcPr>
            <w:tcW w:w="3000" w:type="dxa"/>
            <w:tcBorders>
              <w:bottom w:val="single" w:sz="6" w:space="0" w:color="000000" w:themeColor="text1"/>
              <w:right w:val="single" w:sz="6" w:space="0" w:color="000000" w:themeColor="text1"/>
            </w:tcBorders>
            <w:vAlign w:val="center"/>
          </w:tcPr>
          <w:p w14:paraId="7CB0BFDD"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8.18 (7.36), 0 - 24 </w:t>
            </w:r>
          </w:p>
        </w:tc>
      </w:tr>
      <w:tr w:rsidR="007223B2" w:rsidRPr="005031ED" w14:paraId="4C832B1F" w14:textId="77777777" w:rsidTr="00351AB7">
        <w:trPr>
          <w:trHeight w:val="540"/>
        </w:trPr>
        <w:tc>
          <w:tcPr>
            <w:tcW w:w="3000" w:type="dxa"/>
            <w:tcBorders>
              <w:top w:val="single" w:sz="6" w:space="0" w:color="000000" w:themeColor="text1"/>
              <w:left w:val="single" w:sz="6" w:space="0" w:color="000000" w:themeColor="text1"/>
            </w:tcBorders>
            <w:shd w:val="clear" w:color="auto" w:fill="D9D9D9" w:themeFill="background1" w:themeFillShade="D9"/>
            <w:vAlign w:val="center"/>
          </w:tcPr>
          <w:p w14:paraId="37EF6C3A"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b/>
                <w:bCs/>
                <w:u w:val="single"/>
              </w:rPr>
              <w:t>Experience: trainees</w:t>
            </w:r>
            <w:r w:rsidRPr="005031ED">
              <w:rPr>
                <w:rFonts w:ascii="Calibri" w:eastAsia="Arial" w:hAnsi="Calibri" w:cs="Calibri"/>
              </w:rPr>
              <w:t xml:space="preserve"> </w:t>
            </w:r>
          </w:p>
        </w:tc>
        <w:tc>
          <w:tcPr>
            <w:tcW w:w="3000" w:type="dxa"/>
            <w:tcBorders>
              <w:top w:val="single" w:sz="6" w:space="0" w:color="000000" w:themeColor="text1"/>
            </w:tcBorders>
            <w:shd w:val="clear" w:color="auto" w:fill="D9D9D9" w:themeFill="background1" w:themeFillShade="D9"/>
            <w:vAlign w:val="center"/>
          </w:tcPr>
          <w:p w14:paraId="7717C2A3"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c>
          <w:tcPr>
            <w:tcW w:w="3000" w:type="dxa"/>
            <w:tcBorders>
              <w:top w:val="single" w:sz="6" w:space="0" w:color="000000" w:themeColor="text1"/>
              <w:right w:val="single" w:sz="6" w:space="0" w:color="000000" w:themeColor="text1"/>
            </w:tcBorders>
            <w:shd w:val="clear" w:color="auto" w:fill="D9D9D9" w:themeFill="background1" w:themeFillShade="D9"/>
            <w:vAlign w:val="center"/>
          </w:tcPr>
          <w:p w14:paraId="6592D1B0"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r w:rsidR="007223B2" w:rsidRPr="005031ED" w14:paraId="650741D0" w14:textId="77777777" w:rsidTr="00351AB7">
        <w:trPr>
          <w:trHeight w:val="2145"/>
        </w:trPr>
        <w:tc>
          <w:tcPr>
            <w:tcW w:w="3000" w:type="dxa"/>
            <w:tcBorders>
              <w:left w:val="single" w:sz="6" w:space="0" w:color="000000" w:themeColor="text1"/>
              <w:bottom w:val="single" w:sz="6" w:space="0" w:color="000000" w:themeColor="text1"/>
            </w:tcBorders>
            <w:vAlign w:val="center"/>
          </w:tcPr>
          <w:p w14:paraId="5F1A2A76"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&gt;24 months on ICU ward  </w:t>
            </w:r>
          </w:p>
          <w:p w14:paraId="09DBE7C8"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12-24 months on ICU ward  </w:t>
            </w:r>
          </w:p>
          <w:p w14:paraId="5457A13F"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6-12 months on ICU ward </w:t>
            </w:r>
          </w:p>
          <w:p w14:paraId="40D1D391"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3-6 months on ICU ward </w:t>
            </w:r>
          </w:p>
        </w:tc>
        <w:tc>
          <w:tcPr>
            <w:tcW w:w="3000" w:type="dxa"/>
            <w:tcBorders>
              <w:bottom w:val="single" w:sz="6" w:space="0" w:color="000000" w:themeColor="text1"/>
            </w:tcBorders>
            <w:vAlign w:val="center"/>
          </w:tcPr>
          <w:p w14:paraId="4CAE27CF"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12 (17%)  </w:t>
            </w:r>
          </w:p>
          <w:p w14:paraId="503A0AA3"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4 (6%) </w:t>
            </w:r>
          </w:p>
          <w:p w14:paraId="5DB6F245"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7 (10%) </w:t>
            </w:r>
          </w:p>
          <w:p w14:paraId="4E791FDA"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21 (30%) </w:t>
            </w:r>
          </w:p>
        </w:tc>
        <w:tc>
          <w:tcPr>
            <w:tcW w:w="3000" w:type="dxa"/>
            <w:tcBorders>
              <w:bottom w:val="single" w:sz="6" w:space="0" w:color="000000" w:themeColor="text1"/>
              <w:right w:val="single" w:sz="6" w:space="0" w:color="000000" w:themeColor="text1"/>
            </w:tcBorders>
            <w:vAlign w:val="center"/>
          </w:tcPr>
          <w:p w14:paraId="17C7BF6C" w14:textId="77777777" w:rsidR="007223B2" w:rsidRPr="005031ED" w:rsidRDefault="007223B2" w:rsidP="00351AB7">
            <w:pPr>
              <w:spacing w:line="480" w:lineRule="auto"/>
              <w:jc w:val="both"/>
              <w:rPr>
                <w:rFonts w:ascii="Calibri" w:eastAsia="Arial" w:hAnsi="Calibri" w:cs="Calibri"/>
              </w:rPr>
            </w:pPr>
            <w:r w:rsidRPr="005031ED">
              <w:rPr>
                <w:rFonts w:ascii="Calibri" w:eastAsia="Arial" w:hAnsi="Calibri" w:cs="Calibri"/>
              </w:rPr>
              <w:t xml:space="preserve">  </w:t>
            </w:r>
          </w:p>
        </w:tc>
      </w:tr>
    </w:tbl>
    <w:p w14:paraId="6274AF83"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i/>
          <w:iCs/>
          <w:color w:val="000000" w:themeColor="text1"/>
        </w:rPr>
        <w:t xml:space="preserve">Table SM6. Demographic, </w:t>
      </w:r>
      <w:proofErr w:type="gramStart"/>
      <w:r w:rsidRPr="005031ED">
        <w:rPr>
          <w:rFonts w:ascii="Calibri" w:eastAsia="Arial" w:hAnsi="Calibri" w:cs="Calibri"/>
          <w:i/>
          <w:iCs/>
          <w:color w:val="000000" w:themeColor="text1"/>
        </w:rPr>
        <w:t>grade</w:t>
      </w:r>
      <w:proofErr w:type="gramEnd"/>
      <w:r w:rsidRPr="005031ED">
        <w:rPr>
          <w:rFonts w:ascii="Calibri" w:eastAsia="Arial" w:hAnsi="Calibri" w:cs="Calibri"/>
          <w:i/>
          <w:iCs/>
          <w:color w:val="000000" w:themeColor="text1"/>
        </w:rPr>
        <w:t xml:space="preserve"> and experience characteristics of the sample (N = 70). </w:t>
      </w:r>
      <w:r w:rsidRPr="005031ED">
        <w:rPr>
          <w:rFonts w:ascii="Calibri" w:eastAsia="Arial" w:hAnsi="Calibri" w:cs="Calibri"/>
          <w:color w:val="000000" w:themeColor="text1"/>
        </w:rPr>
        <w:t xml:space="preserve"> </w:t>
      </w:r>
    </w:p>
    <w:p w14:paraId="317E2476" w14:textId="77777777" w:rsidR="007223B2" w:rsidRPr="005031ED" w:rsidRDefault="007223B2" w:rsidP="007223B2">
      <w:pPr>
        <w:pStyle w:val="Heading1"/>
        <w:spacing w:line="480" w:lineRule="auto"/>
        <w:rPr>
          <w:rFonts w:ascii="Calibri" w:eastAsia="Arial" w:hAnsi="Calibri" w:cs="Calibri"/>
          <w:color w:val="000000" w:themeColor="text1"/>
          <w:sz w:val="24"/>
          <w:szCs w:val="24"/>
        </w:rPr>
      </w:pPr>
      <w:r w:rsidRPr="005031ED">
        <w:rPr>
          <w:rFonts w:ascii="Calibri" w:eastAsia="Arial" w:hAnsi="Calibri" w:cs="Calibri"/>
          <w:color w:val="000000" w:themeColor="text1"/>
          <w:sz w:val="24"/>
          <w:szCs w:val="24"/>
          <w:vertAlign w:val="superscript"/>
        </w:rPr>
        <w:lastRenderedPageBreak/>
        <w:t>a</w:t>
      </w:r>
      <w:r w:rsidRPr="005031ED">
        <w:rPr>
          <w:rFonts w:ascii="Calibri" w:eastAsia="Arial" w:hAnsi="Calibri" w:cs="Calibri"/>
          <w:color w:val="000000" w:themeColor="text1"/>
          <w:sz w:val="24"/>
          <w:szCs w:val="24"/>
        </w:rPr>
        <w:t xml:space="preserve"> One consultant did not provide this information. </w:t>
      </w:r>
    </w:p>
    <w:p w14:paraId="4F497D9C" w14:textId="77777777" w:rsidR="007223B2" w:rsidRPr="005031ED" w:rsidRDefault="007223B2" w:rsidP="007223B2">
      <w:pPr>
        <w:spacing w:line="480" w:lineRule="auto"/>
        <w:rPr>
          <w:rFonts w:ascii="Calibri" w:eastAsia="Calibri" w:hAnsi="Calibri" w:cs="Calibri"/>
        </w:rPr>
      </w:pPr>
      <w:r w:rsidRPr="005031ED">
        <w:rPr>
          <w:rFonts w:ascii="Calibri" w:hAnsi="Calibri" w:cs="Calibri"/>
        </w:rPr>
        <w:br w:type="page"/>
      </w:r>
    </w:p>
    <w:p w14:paraId="5164B318" w14:textId="77777777" w:rsidR="007223B2" w:rsidRPr="005031ED" w:rsidRDefault="007223B2" w:rsidP="007223B2">
      <w:pPr>
        <w:pStyle w:val="Heading1"/>
        <w:spacing w:line="480" w:lineRule="auto"/>
        <w:rPr>
          <w:rFonts w:ascii="Calibri" w:eastAsia="Arial" w:hAnsi="Calibri" w:cs="Calibri"/>
          <w:color w:val="000000" w:themeColor="text1"/>
          <w:sz w:val="24"/>
          <w:szCs w:val="24"/>
        </w:rPr>
      </w:pPr>
      <w:r w:rsidRPr="005031ED">
        <w:rPr>
          <w:rFonts w:ascii="Calibri" w:eastAsia="Arial" w:hAnsi="Calibri" w:cs="Calibri"/>
          <w:b/>
          <w:bCs/>
          <w:color w:val="000000" w:themeColor="text1"/>
          <w:sz w:val="24"/>
          <w:szCs w:val="24"/>
        </w:rPr>
        <w:lastRenderedPageBreak/>
        <w:t xml:space="preserve">SM7. Reasons for clinicians to STOP or NOT STOP (continue) antibiotics </w:t>
      </w:r>
    </w:p>
    <w:p w14:paraId="1F378F5D" w14:textId="77777777" w:rsidR="007223B2" w:rsidRPr="005031ED" w:rsidRDefault="007223B2" w:rsidP="007223B2">
      <w:pPr>
        <w:spacing w:line="480" w:lineRule="auto"/>
        <w:rPr>
          <w:rFonts w:ascii="Calibri" w:eastAsia="Arial" w:hAnsi="Calibri" w:cs="Calibri"/>
          <w:color w:val="000000" w:themeColor="text1"/>
        </w:rPr>
      </w:pPr>
    </w:p>
    <w:p w14:paraId="3183AEFD" w14:textId="77777777" w:rsidR="007223B2" w:rsidRPr="005031ED" w:rsidRDefault="007223B2" w:rsidP="007223B2">
      <w:pPr>
        <w:spacing w:line="480" w:lineRule="auto"/>
        <w:rPr>
          <w:rFonts w:ascii="Calibri" w:eastAsia="Arial" w:hAnsi="Calibri" w:cs="Calibri"/>
          <w:color w:val="000000" w:themeColor="text1"/>
        </w:rPr>
      </w:pPr>
    </w:p>
    <w:p w14:paraId="23DCEF56"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hAnsi="Calibri" w:cs="Calibri"/>
          <w:noProof/>
        </w:rPr>
        <w:drawing>
          <wp:inline distT="0" distB="0" distL="0" distR="0" wp14:anchorId="68EC50EF" wp14:editId="4CE9D257">
            <wp:extent cx="6476104" cy="5734050"/>
            <wp:effectExtent l="0" t="0" r="0" b="0"/>
            <wp:docPr id="746782243" name="Picture 746782243"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782243" name="Picture 746782243" descr="Chart, waterfall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476104" cy="5734050"/>
                    </a:xfrm>
                    <a:prstGeom prst="rect">
                      <a:avLst/>
                    </a:prstGeom>
                  </pic:spPr>
                </pic:pic>
              </a:graphicData>
            </a:graphic>
          </wp:inline>
        </w:drawing>
      </w:r>
    </w:p>
    <w:p w14:paraId="6DD67E65"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i/>
          <w:iCs/>
          <w:color w:val="000000" w:themeColor="text1"/>
        </w:rPr>
        <w:t xml:space="preserve">Fig SM7a. Reasons given by clinicians for their decision to STOP antibiotics, in the improvement (top left, n=54), worsening (top right, n=4), disc clin better (bottom left, n=48) and disc clin worse (bottom right, n=32) scenarios. </w:t>
      </w:r>
      <w:r w:rsidRPr="005031ED">
        <w:rPr>
          <w:rFonts w:ascii="Calibri" w:eastAsia="Arial" w:hAnsi="Calibri" w:cs="Calibri"/>
          <w:color w:val="000000" w:themeColor="text1"/>
        </w:rPr>
        <w:t xml:space="preserve">Participants who elected to STOP antibiotics were asked: “In your </w:t>
      </w:r>
      <w:r w:rsidRPr="005031ED">
        <w:rPr>
          <w:rFonts w:ascii="Calibri" w:eastAsia="Arial" w:hAnsi="Calibri" w:cs="Calibri"/>
          <w:color w:val="000000" w:themeColor="text1"/>
        </w:rPr>
        <w:lastRenderedPageBreak/>
        <w:t>view, what are the risks of </w:t>
      </w:r>
      <w:r w:rsidRPr="005031ED">
        <w:rPr>
          <w:rFonts w:ascii="Calibri" w:eastAsia="Arial" w:hAnsi="Calibri" w:cs="Calibri"/>
          <w:b/>
          <w:bCs/>
          <w:color w:val="000000" w:themeColor="text1"/>
          <w:u w:val="single"/>
        </w:rPr>
        <w:t>continuing</w:t>
      </w:r>
      <w:r w:rsidRPr="005031ED">
        <w:rPr>
          <w:rFonts w:ascii="Calibri" w:eastAsia="Arial" w:hAnsi="Calibri" w:cs="Calibri"/>
          <w:color w:val="000000" w:themeColor="text1"/>
        </w:rPr>
        <w:t> antimicrobial treatment? Tick all that apply.” The options available were: “Continuing antibiotics could harm the patient”, “Continuing antibiotics might be viewed as inappropriate by colleagues”, “Continuing antibiotics poses population risks (</w:t>
      </w:r>
      <w:proofErr w:type="gramStart"/>
      <w:r w:rsidRPr="005031ED">
        <w:rPr>
          <w:rFonts w:ascii="Calibri" w:eastAsia="Arial" w:hAnsi="Calibri" w:cs="Calibri"/>
          <w:color w:val="000000" w:themeColor="text1"/>
        </w:rPr>
        <w:t>i.e.</w:t>
      </w:r>
      <w:proofErr w:type="gramEnd"/>
      <w:r w:rsidRPr="005031ED">
        <w:rPr>
          <w:rFonts w:ascii="Calibri" w:eastAsia="Arial" w:hAnsi="Calibri" w:cs="Calibri"/>
          <w:color w:val="000000" w:themeColor="text1"/>
        </w:rPr>
        <w:t xml:space="preserve"> antimicrobial resistance)”, “Continuing antibiotics is not clinically necessary based on the information provided”, and “Other”.  </w:t>
      </w:r>
    </w:p>
    <w:p w14:paraId="58BBE5D2" w14:textId="77777777" w:rsidR="007223B2" w:rsidRPr="005031ED" w:rsidRDefault="007223B2" w:rsidP="007223B2">
      <w:pPr>
        <w:spacing w:line="480" w:lineRule="auto"/>
        <w:jc w:val="both"/>
        <w:rPr>
          <w:rFonts w:ascii="Calibri" w:eastAsia="Calibri" w:hAnsi="Calibri" w:cs="Calibri"/>
        </w:rPr>
      </w:pPr>
      <w:r w:rsidRPr="005031ED">
        <w:rPr>
          <w:rFonts w:ascii="Calibri" w:hAnsi="Calibri" w:cs="Calibri"/>
        </w:rPr>
        <w:br/>
      </w:r>
    </w:p>
    <w:p w14:paraId="3B6C9051" w14:textId="77777777" w:rsidR="007223B2" w:rsidRPr="005031ED" w:rsidRDefault="007223B2" w:rsidP="007223B2">
      <w:pPr>
        <w:spacing w:line="480" w:lineRule="auto"/>
        <w:jc w:val="both"/>
        <w:rPr>
          <w:rFonts w:ascii="Calibri" w:eastAsia="Arial" w:hAnsi="Calibri" w:cs="Calibri"/>
          <w:color w:val="000000" w:themeColor="text1"/>
        </w:rPr>
      </w:pPr>
    </w:p>
    <w:p w14:paraId="4EE943E6" w14:textId="77777777" w:rsidR="007223B2" w:rsidRPr="005031ED" w:rsidRDefault="007223B2" w:rsidP="007223B2">
      <w:pPr>
        <w:spacing w:line="480" w:lineRule="auto"/>
        <w:jc w:val="both"/>
        <w:rPr>
          <w:rFonts w:ascii="Calibri" w:eastAsia="Arial" w:hAnsi="Calibri" w:cs="Calibri"/>
          <w:color w:val="000000" w:themeColor="text1"/>
        </w:rPr>
      </w:pPr>
    </w:p>
    <w:p w14:paraId="65DEAB8A" w14:textId="77777777" w:rsidR="007223B2" w:rsidRPr="005031ED" w:rsidRDefault="007223B2" w:rsidP="007223B2">
      <w:pPr>
        <w:spacing w:line="480" w:lineRule="auto"/>
        <w:jc w:val="both"/>
        <w:rPr>
          <w:rFonts w:ascii="Calibri" w:eastAsia="Arial" w:hAnsi="Calibri" w:cs="Calibri"/>
          <w:color w:val="000000" w:themeColor="text1"/>
        </w:rPr>
      </w:pPr>
    </w:p>
    <w:p w14:paraId="2A67B6EF"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hAnsi="Calibri" w:cs="Calibri"/>
          <w:noProof/>
        </w:rPr>
        <w:lastRenderedPageBreak/>
        <w:drawing>
          <wp:inline distT="0" distB="0" distL="0" distR="0" wp14:anchorId="41373490" wp14:editId="7DE853CC">
            <wp:extent cx="6305826" cy="5438775"/>
            <wp:effectExtent l="0" t="0" r="0" b="0"/>
            <wp:docPr id="3" name="Picture 3"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waterfall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6305826" cy="5438775"/>
                    </a:xfrm>
                    <a:prstGeom prst="rect">
                      <a:avLst/>
                    </a:prstGeom>
                  </pic:spPr>
                </pic:pic>
              </a:graphicData>
            </a:graphic>
          </wp:inline>
        </w:drawing>
      </w:r>
    </w:p>
    <w:p w14:paraId="67E1B495"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i/>
          <w:iCs/>
          <w:color w:val="000000" w:themeColor="text1"/>
          <w:lang w:val="en-US"/>
        </w:rPr>
        <w:t xml:space="preserve">Fig SM7b. Reasons given by clinicians for their initial decision to CONTINUE antibiotics, in the improvement (top left, n=8), worsening (top right, n=61), disc clin better (bottom left, n=18), and disc clin worse (bottom right, n=33) scenarios. </w:t>
      </w:r>
      <w:r w:rsidRPr="005031ED">
        <w:rPr>
          <w:rFonts w:ascii="Calibri" w:eastAsia="Arial" w:hAnsi="Calibri" w:cs="Calibri"/>
          <w:color w:val="000000" w:themeColor="text1"/>
          <w:lang w:val="en-US"/>
        </w:rPr>
        <w:t xml:space="preserve">Participants who elected to continue antibiotics were asked: “In your view, what are the risks of </w:t>
      </w:r>
      <w:r w:rsidRPr="005031ED">
        <w:rPr>
          <w:rFonts w:ascii="Calibri" w:eastAsia="Arial" w:hAnsi="Calibri" w:cs="Calibri"/>
          <w:b/>
          <w:bCs/>
          <w:color w:val="000000" w:themeColor="text1"/>
          <w:u w:val="single"/>
          <w:lang w:val="en-US"/>
        </w:rPr>
        <w:t>stopping</w:t>
      </w:r>
      <w:r w:rsidRPr="005031ED">
        <w:rPr>
          <w:rFonts w:ascii="Calibri" w:eastAsia="Arial" w:hAnsi="Calibri" w:cs="Calibri"/>
          <w:color w:val="000000" w:themeColor="text1"/>
          <w:lang w:val="en-US"/>
        </w:rPr>
        <w:t xml:space="preserve"> antimicrobial treatment? Tick all that apply.” The options available were: “Stopping antibiotics is inappropriate based on the clinical information provided”, “Stopping antibiotics might be viewed as inappropriate by colleagues”, “Stopping antibiotics could harm the patient”, “There is relatively minimal harm in continuing </w:t>
      </w:r>
      <w:r w:rsidRPr="005031ED">
        <w:rPr>
          <w:rFonts w:ascii="Calibri" w:eastAsia="Arial" w:hAnsi="Calibri" w:cs="Calibri"/>
          <w:color w:val="000000" w:themeColor="text1"/>
          <w:lang w:val="en-US"/>
        </w:rPr>
        <w:lastRenderedPageBreak/>
        <w:t xml:space="preserve">antibiotics”, and “Other”. One reason was never selected (“There is relatively minimal harm in continuing antibiotics”) and has been removed from the graph for simplicity.  </w:t>
      </w:r>
    </w:p>
    <w:p w14:paraId="58D99616" w14:textId="77777777" w:rsidR="007223B2" w:rsidRPr="005031ED" w:rsidRDefault="007223B2" w:rsidP="007223B2">
      <w:pPr>
        <w:spacing w:line="480" w:lineRule="auto"/>
        <w:jc w:val="both"/>
        <w:rPr>
          <w:rFonts w:ascii="Calibri" w:eastAsia="Calibri" w:hAnsi="Calibri" w:cs="Calibri"/>
        </w:rPr>
      </w:pPr>
      <w:r w:rsidRPr="005031ED">
        <w:rPr>
          <w:rFonts w:ascii="Calibri" w:hAnsi="Calibri" w:cs="Calibri"/>
        </w:rPr>
        <w:br/>
      </w:r>
    </w:p>
    <w:p w14:paraId="2E5FC1A7" w14:textId="77777777" w:rsidR="007223B2" w:rsidRPr="005031ED" w:rsidRDefault="007223B2" w:rsidP="007223B2">
      <w:pPr>
        <w:spacing w:line="480" w:lineRule="auto"/>
        <w:jc w:val="both"/>
        <w:rPr>
          <w:rFonts w:ascii="Calibri" w:eastAsia="Arial" w:hAnsi="Calibri" w:cs="Calibri"/>
          <w:color w:val="000000" w:themeColor="text1"/>
        </w:rPr>
      </w:pPr>
    </w:p>
    <w:p w14:paraId="2A950095"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rPr>
        <w:br w:type="page"/>
      </w:r>
    </w:p>
    <w:p w14:paraId="31441099" w14:textId="77777777" w:rsidR="007223B2" w:rsidRPr="005031ED" w:rsidRDefault="007223B2" w:rsidP="007223B2">
      <w:pPr>
        <w:pStyle w:val="Heading1"/>
        <w:spacing w:line="480" w:lineRule="auto"/>
        <w:rPr>
          <w:rFonts w:ascii="Calibri" w:eastAsia="Arial" w:hAnsi="Calibri" w:cs="Calibri"/>
          <w:color w:val="000000" w:themeColor="text1"/>
          <w:sz w:val="24"/>
          <w:szCs w:val="24"/>
        </w:rPr>
      </w:pPr>
      <w:r w:rsidRPr="005031ED">
        <w:rPr>
          <w:rFonts w:ascii="Calibri" w:eastAsia="Arial" w:hAnsi="Calibri" w:cs="Calibri"/>
          <w:b/>
          <w:bCs/>
          <w:color w:val="000000" w:themeColor="text1"/>
          <w:sz w:val="24"/>
          <w:szCs w:val="24"/>
        </w:rPr>
        <w:lastRenderedPageBreak/>
        <w:t>SM8. Variation in STOP decisions and the influence of POCT on variability of judgements</w:t>
      </w:r>
    </w:p>
    <w:p w14:paraId="1B3D8777" w14:textId="77777777" w:rsidR="007223B2" w:rsidRPr="005031ED" w:rsidRDefault="007223B2" w:rsidP="007223B2">
      <w:pPr>
        <w:spacing w:line="480" w:lineRule="auto"/>
        <w:rPr>
          <w:rFonts w:ascii="Calibri" w:eastAsia="Arial" w:hAnsi="Calibri" w:cs="Calibri"/>
          <w:color w:val="000000" w:themeColor="text1"/>
        </w:rPr>
      </w:pPr>
    </w:p>
    <w:p w14:paraId="22829774" w14:textId="77777777" w:rsidR="007223B2" w:rsidRPr="005031ED" w:rsidRDefault="007223B2" w:rsidP="007223B2">
      <w:pPr>
        <w:spacing w:line="480" w:lineRule="auto"/>
        <w:rPr>
          <w:rFonts w:ascii="Calibri" w:eastAsia="Arial" w:hAnsi="Calibri" w:cs="Calibri"/>
          <w:color w:val="000000" w:themeColor="text1"/>
        </w:rPr>
      </w:pPr>
    </w:p>
    <w:p w14:paraId="06F911F7" w14:textId="77777777" w:rsidR="007223B2" w:rsidRPr="005031ED" w:rsidRDefault="007223B2" w:rsidP="007223B2">
      <w:pPr>
        <w:spacing w:line="480" w:lineRule="auto"/>
        <w:jc w:val="both"/>
        <w:rPr>
          <w:rFonts w:ascii="Calibri" w:eastAsia="Arial" w:hAnsi="Calibri" w:cs="Calibri"/>
          <w:color w:val="000000" w:themeColor="text1"/>
        </w:rPr>
      </w:pPr>
      <w:r w:rsidRPr="005031ED">
        <w:rPr>
          <w:rFonts w:ascii="Calibri" w:eastAsia="Arial" w:hAnsi="Calibri" w:cs="Calibri"/>
          <w:color w:val="000000" w:themeColor="text1"/>
        </w:rPr>
        <w:t>Table SM6 shows the per-scenario mean and standard deviation (</w:t>
      </w:r>
      <w:proofErr w:type="spellStart"/>
      <w:r w:rsidRPr="005031ED">
        <w:rPr>
          <w:rFonts w:ascii="Calibri" w:eastAsia="Arial" w:hAnsi="Calibri" w:cs="Calibri"/>
          <w:color w:val="000000" w:themeColor="text1"/>
        </w:rPr>
        <w:t>i.e</w:t>
      </w:r>
      <w:proofErr w:type="spellEnd"/>
      <w:r w:rsidRPr="005031ED">
        <w:rPr>
          <w:rFonts w:ascii="Calibri" w:eastAsia="Arial" w:hAnsi="Calibri" w:cs="Calibri"/>
          <w:color w:val="000000" w:themeColor="text1"/>
        </w:rPr>
        <w:t xml:space="preserve">, variability) in inclination-to-stop, before (column 1) and after (column 2) the negative POCT result, per scenario. In all cases except </w:t>
      </w:r>
      <w:r w:rsidRPr="005031ED">
        <w:rPr>
          <w:rFonts w:ascii="Calibri" w:eastAsia="Arial" w:hAnsi="Calibri" w:cs="Calibri"/>
          <w:i/>
          <w:iCs/>
          <w:color w:val="000000" w:themeColor="text1"/>
        </w:rPr>
        <w:t>worsening</w:t>
      </w:r>
      <w:r w:rsidRPr="005031ED">
        <w:rPr>
          <w:rFonts w:ascii="Calibri" w:eastAsia="Arial" w:hAnsi="Calibri" w:cs="Calibri"/>
          <w:color w:val="000000" w:themeColor="text1"/>
        </w:rPr>
        <w:t xml:space="preserve">, a negative POCT result reduced variability, albeit to different degrees. As we might expect, the reduction was smallest in the </w:t>
      </w:r>
      <w:r w:rsidRPr="005031ED">
        <w:rPr>
          <w:rFonts w:ascii="Calibri" w:eastAsia="Arial" w:hAnsi="Calibri" w:cs="Calibri"/>
          <w:i/>
          <w:iCs/>
          <w:color w:val="000000" w:themeColor="text1"/>
        </w:rPr>
        <w:t>improvement</w:t>
      </w:r>
      <w:r w:rsidRPr="005031ED">
        <w:rPr>
          <w:rFonts w:ascii="Calibri" w:eastAsia="Arial" w:hAnsi="Calibri" w:cs="Calibri"/>
          <w:color w:val="000000" w:themeColor="text1"/>
        </w:rPr>
        <w:t xml:space="preserve"> scenario. In the two discordant scenarios, there was a greater reduction in </w:t>
      </w:r>
      <w:r w:rsidRPr="005031ED">
        <w:rPr>
          <w:rFonts w:ascii="Calibri" w:eastAsia="Arial" w:hAnsi="Calibri" w:cs="Calibri"/>
          <w:i/>
          <w:iCs/>
          <w:color w:val="000000" w:themeColor="text1"/>
        </w:rPr>
        <w:t>disc clin better</w:t>
      </w:r>
      <w:r w:rsidRPr="005031ED">
        <w:rPr>
          <w:rFonts w:ascii="Calibri" w:eastAsia="Arial" w:hAnsi="Calibri" w:cs="Calibri"/>
          <w:color w:val="000000" w:themeColor="text1"/>
        </w:rPr>
        <w:t xml:space="preserve"> (where the negative POCT result was consistent with the patient’s clinical data) than </w:t>
      </w:r>
      <w:r w:rsidRPr="005031ED">
        <w:rPr>
          <w:rFonts w:ascii="Calibri" w:eastAsia="Arial" w:hAnsi="Calibri" w:cs="Calibri"/>
          <w:i/>
          <w:iCs/>
          <w:color w:val="000000" w:themeColor="text1"/>
        </w:rPr>
        <w:t xml:space="preserve">disc clin worse </w:t>
      </w:r>
      <w:r w:rsidRPr="005031ED">
        <w:rPr>
          <w:rFonts w:ascii="Calibri" w:eastAsia="Arial" w:hAnsi="Calibri" w:cs="Calibri"/>
          <w:color w:val="000000" w:themeColor="text1"/>
        </w:rPr>
        <w:t xml:space="preserve">(POCT inconsistent with patient’s clinical data). These supplementary findings suggest that the introduction of POCT might reduce unwanted variability in decision making amongst clinicians. </w:t>
      </w:r>
    </w:p>
    <w:p w14:paraId="1C32D586" w14:textId="77777777" w:rsidR="007223B2" w:rsidRPr="005031ED" w:rsidRDefault="007223B2" w:rsidP="007223B2">
      <w:pPr>
        <w:spacing w:line="480" w:lineRule="auto"/>
        <w:jc w:val="both"/>
        <w:rPr>
          <w:rFonts w:ascii="Calibri" w:eastAsia="Arial" w:hAnsi="Calibri" w:cs="Calibri"/>
          <w:color w:val="000000" w:themeColor="text1"/>
        </w:rPr>
      </w:pPr>
    </w:p>
    <w:tbl>
      <w:tblPr>
        <w:tblW w:w="0" w:type="auto"/>
        <w:tblLayout w:type="fixed"/>
        <w:tblLook w:val="04A0" w:firstRow="1" w:lastRow="0" w:firstColumn="1" w:lastColumn="0" w:noHBand="0" w:noVBand="1"/>
      </w:tblPr>
      <w:tblGrid>
        <w:gridCol w:w="1695"/>
        <w:gridCol w:w="2835"/>
        <w:gridCol w:w="2970"/>
        <w:gridCol w:w="1545"/>
      </w:tblGrid>
      <w:tr w:rsidR="007223B2" w:rsidRPr="005031ED" w14:paraId="677C1743" w14:textId="77777777" w:rsidTr="00351AB7">
        <w:trPr>
          <w:trHeight w:val="51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363046"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b/>
                <w:bCs/>
                <w:color w:val="000000" w:themeColor="text1"/>
                <w:u w:val="single"/>
              </w:rPr>
              <w:t>Scenario</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E6C8EA"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b/>
                <w:bCs/>
                <w:color w:val="000000" w:themeColor="text1"/>
                <w:u w:val="single"/>
              </w:rPr>
              <w:t>Inclination-to-stop pre-POCT</w:t>
            </w:r>
          </w:p>
          <w:p w14:paraId="32B6B0E5"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i/>
                <w:iCs/>
                <w:color w:val="000000" w:themeColor="text1"/>
              </w:rPr>
              <w:t>mean (SD)</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5AD0CA5"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b/>
                <w:bCs/>
                <w:color w:val="000000" w:themeColor="text1"/>
                <w:u w:val="single"/>
              </w:rPr>
              <w:t>Inclination-to-stop post-POCT</w:t>
            </w:r>
          </w:p>
          <w:p w14:paraId="7ACAEC68"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i/>
                <w:iCs/>
                <w:color w:val="000000" w:themeColor="text1"/>
              </w:rPr>
              <w:t>mean (SD)</w:t>
            </w:r>
          </w:p>
          <w:p w14:paraId="55DC4326" w14:textId="77777777" w:rsidR="007223B2" w:rsidRPr="005031ED" w:rsidRDefault="007223B2" w:rsidP="00351AB7">
            <w:pPr>
              <w:spacing w:line="480" w:lineRule="auto"/>
              <w:jc w:val="center"/>
              <w:rPr>
                <w:rFonts w:ascii="Calibri" w:eastAsia="Arial" w:hAnsi="Calibri" w:cs="Calibri"/>
                <w:color w:val="000000" w:themeColor="text1"/>
              </w:rPr>
            </w:pPr>
          </w:p>
        </w:tc>
        <w:tc>
          <w:tcPr>
            <w:tcW w:w="154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08DBE6"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b/>
                <w:bCs/>
                <w:color w:val="000000" w:themeColor="text1"/>
                <w:u w:val="single"/>
              </w:rPr>
              <w:t>Difference</w:t>
            </w:r>
          </w:p>
          <w:p w14:paraId="34E8F141" w14:textId="77777777" w:rsidR="007223B2" w:rsidRPr="005031ED" w:rsidRDefault="007223B2" w:rsidP="00351AB7">
            <w:pPr>
              <w:spacing w:line="480" w:lineRule="auto"/>
              <w:jc w:val="center"/>
              <w:rPr>
                <w:rFonts w:ascii="Calibri" w:eastAsia="Arial" w:hAnsi="Calibri" w:cs="Calibri"/>
                <w:color w:val="000000" w:themeColor="text1"/>
              </w:rPr>
            </w:pPr>
            <w:r w:rsidRPr="005031ED">
              <w:rPr>
                <w:rFonts w:ascii="Calibri" w:eastAsia="Arial" w:hAnsi="Calibri" w:cs="Calibri"/>
                <w:i/>
                <w:iCs/>
                <w:color w:val="000000" w:themeColor="text1"/>
              </w:rPr>
              <w:t>mean (SD)</w:t>
            </w:r>
          </w:p>
        </w:tc>
      </w:tr>
      <w:tr w:rsidR="007223B2" w:rsidRPr="005031ED" w14:paraId="4A98E4DD" w14:textId="77777777" w:rsidTr="00351AB7">
        <w:trPr>
          <w:trHeight w:val="51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955E9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Improvement</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5A0332"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3.73 (3.00)</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396E2F"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4.19 (2.82)</w:t>
            </w:r>
          </w:p>
        </w:tc>
        <w:tc>
          <w:tcPr>
            <w:tcW w:w="154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44AC76"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0.46 (-0.18)</w:t>
            </w:r>
          </w:p>
        </w:tc>
      </w:tr>
      <w:tr w:rsidR="007223B2" w:rsidRPr="005031ED" w14:paraId="42BB2955" w14:textId="77777777" w:rsidTr="00351AB7">
        <w:trPr>
          <w:trHeight w:val="51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90BC63"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Disc clin better</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98147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2.00 (3.73)</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5594F6"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3.77 (2.75)</w:t>
            </w:r>
          </w:p>
        </w:tc>
        <w:tc>
          <w:tcPr>
            <w:tcW w:w="154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406DA6"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1.77 (-0.98)</w:t>
            </w:r>
          </w:p>
        </w:tc>
      </w:tr>
      <w:tr w:rsidR="007223B2" w:rsidRPr="005031ED" w14:paraId="48592B23" w14:textId="77777777" w:rsidTr="00351AB7">
        <w:trPr>
          <w:trHeight w:val="51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2D8C48"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Disc clin worse</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6B6552"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-0.17 (4.01)</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21AD95A"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2.46 (3.65)</w:t>
            </w:r>
          </w:p>
        </w:tc>
        <w:tc>
          <w:tcPr>
            <w:tcW w:w="154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110E2A"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2.63 (-0.36)</w:t>
            </w:r>
          </w:p>
        </w:tc>
      </w:tr>
      <w:tr w:rsidR="007223B2" w:rsidRPr="005031ED" w14:paraId="26465C14" w14:textId="77777777" w:rsidTr="00351AB7">
        <w:trPr>
          <w:trHeight w:val="51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FD8BB4D"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Worsening</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964DCA"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-4.15 (2.56)</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332FE7"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-2.00 (3.89)</w:t>
            </w:r>
          </w:p>
        </w:tc>
        <w:tc>
          <w:tcPr>
            <w:tcW w:w="154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C16B83"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2.15 (1.33)</w:t>
            </w:r>
          </w:p>
        </w:tc>
      </w:tr>
    </w:tbl>
    <w:p w14:paraId="74473CC9" w14:textId="77777777" w:rsidR="007223B2" w:rsidRPr="005031ED" w:rsidRDefault="007223B2" w:rsidP="007223B2">
      <w:pPr>
        <w:spacing w:line="480" w:lineRule="auto"/>
        <w:jc w:val="both"/>
        <w:rPr>
          <w:rFonts w:ascii="Calibri" w:eastAsia="Arial" w:hAnsi="Calibri" w:cs="Calibri"/>
          <w:color w:val="000000" w:themeColor="text1"/>
        </w:rPr>
      </w:pPr>
    </w:p>
    <w:p w14:paraId="6BF3DCD5" w14:textId="77777777" w:rsidR="007223B2" w:rsidRPr="005031ED" w:rsidRDefault="007223B2" w:rsidP="007223B2">
      <w:pPr>
        <w:pStyle w:val="CommentText"/>
        <w:spacing w:line="480" w:lineRule="auto"/>
        <w:jc w:val="both"/>
        <w:rPr>
          <w:rFonts w:ascii="Calibri" w:eastAsia="Arial" w:hAnsi="Calibri" w:cs="Calibri"/>
          <w:color w:val="000000" w:themeColor="text1"/>
          <w:sz w:val="24"/>
          <w:szCs w:val="24"/>
        </w:rPr>
      </w:pPr>
      <w:r w:rsidRPr="005031ED">
        <w:rPr>
          <w:rFonts w:ascii="Calibri" w:eastAsia="Arial" w:hAnsi="Calibri" w:cs="Calibri"/>
          <w:i/>
          <w:iCs/>
          <w:color w:val="000000" w:themeColor="text1"/>
          <w:sz w:val="24"/>
          <w:szCs w:val="24"/>
          <w:lang w:val="en-US"/>
        </w:rPr>
        <w:lastRenderedPageBreak/>
        <w:t xml:space="preserve">Table SM8. Mean and SD for inclination-to-stop antibiotics, before and after a negative POCT result, per scenario. </w:t>
      </w:r>
      <w:r w:rsidRPr="005031ED">
        <w:rPr>
          <w:rFonts w:ascii="Calibri" w:eastAsia="Arial" w:hAnsi="Calibri" w:cs="Calibri"/>
          <w:color w:val="000000" w:themeColor="text1"/>
          <w:sz w:val="24"/>
          <w:szCs w:val="24"/>
        </w:rPr>
        <w:t xml:space="preserve">Variability in clinicians’ judgments (i.e., standard deviations) was reduced by negative POCT results in all but one scenario (worsening). </w:t>
      </w:r>
    </w:p>
    <w:p w14:paraId="056BD44A" w14:textId="77777777" w:rsidR="007223B2" w:rsidRPr="005031ED" w:rsidRDefault="007223B2" w:rsidP="007223B2">
      <w:pPr>
        <w:spacing w:line="480" w:lineRule="auto"/>
        <w:rPr>
          <w:rFonts w:ascii="Calibri" w:eastAsia="Arial" w:hAnsi="Calibri" w:cs="Calibri"/>
          <w:color w:val="000000" w:themeColor="text1"/>
        </w:rPr>
      </w:pPr>
    </w:p>
    <w:p w14:paraId="14BBC69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rPr>
        <w:br w:type="page"/>
      </w:r>
    </w:p>
    <w:p w14:paraId="02BD7E8C" w14:textId="77777777" w:rsidR="007223B2" w:rsidRPr="005031ED" w:rsidRDefault="007223B2" w:rsidP="007223B2">
      <w:pPr>
        <w:pStyle w:val="Heading1"/>
        <w:spacing w:line="480" w:lineRule="auto"/>
        <w:rPr>
          <w:rFonts w:ascii="Calibri" w:eastAsia="Arial" w:hAnsi="Calibri" w:cs="Calibri"/>
          <w:color w:val="000000" w:themeColor="text1"/>
          <w:sz w:val="24"/>
          <w:szCs w:val="24"/>
        </w:rPr>
      </w:pPr>
      <w:r w:rsidRPr="005031ED">
        <w:rPr>
          <w:rFonts w:ascii="Calibri" w:eastAsia="Arial" w:hAnsi="Calibri" w:cs="Calibri"/>
          <w:b/>
          <w:bCs/>
          <w:color w:val="000000" w:themeColor="text1"/>
          <w:sz w:val="24"/>
          <w:szCs w:val="24"/>
        </w:rPr>
        <w:lastRenderedPageBreak/>
        <w:t>SM9. Reasons for requesting/rejecting POCT</w:t>
      </w:r>
    </w:p>
    <w:p w14:paraId="3AAC7A7B" w14:textId="77777777" w:rsidR="007223B2" w:rsidRPr="005031ED" w:rsidRDefault="007223B2" w:rsidP="007223B2">
      <w:pPr>
        <w:spacing w:line="480" w:lineRule="auto"/>
        <w:rPr>
          <w:rFonts w:ascii="Calibri" w:eastAsia="Arial" w:hAnsi="Calibri" w:cs="Calibri"/>
          <w:color w:val="000000" w:themeColor="text1"/>
        </w:rPr>
      </w:pPr>
    </w:p>
    <w:p w14:paraId="05E38E51"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noProof/>
        </w:rPr>
        <w:drawing>
          <wp:inline distT="0" distB="0" distL="0" distR="0" wp14:anchorId="54E3B0FE" wp14:editId="3E09F217">
            <wp:extent cx="6010996" cy="314325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010996" cy="3143250"/>
                    </a:xfrm>
                    <a:prstGeom prst="rect">
                      <a:avLst/>
                    </a:prstGeom>
                  </pic:spPr>
                </pic:pic>
              </a:graphicData>
            </a:graphic>
          </wp:inline>
        </w:drawing>
      </w:r>
    </w:p>
    <w:p w14:paraId="05D76470"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Fig SM9a. Reasons given by clinicians for their decision to </w:t>
      </w:r>
      <w:r w:rsidRPr="005031ED">
        <w:rPr>
          <w:rFonts w:ascii="Calibri" w:eastAsia="Arial" w:hAnsi="Calibri" w:cs="Calibri"/>
          <w:b/>
          <w:bCs/>
          <w:i/>
          <w:iCs/>
          <w:color w:val="000000" w:themeColor="text1"/>
          <w:u w:val="single"/>
        </w:rPr>
        <w:t>request</w:t>
      </w:r>
      <w:r w:rsidRPr="005031ED">
        <w:rPr>
          <w:rFonts w:ascii="Calibri" w:eastAsia="Arial" w:hAnsi="Calibri" w:cs="Calibri"/>
          <w:i/>
          <w:iCs/>
          <w:color w:val="000000" w:themeColor="text1"/>
        </w:rPr>
        <w:t xml:space="preserve"> POCT, per scenario and initial antibiotics decision. </w:t>
      </w:r>
      <w:r w:rsidRPr="005031ED">
        <w:rPr>
          <w:rFonts w:ascii="Calibri" w:eastAsia="Arial" w:hAnsi="Calibri" w:cs="Calibri"/>
          <w:color w:val="000000" w:themeColor="text1"/>
        </w:rPr>
        <w:t xml:space="preserve">Participants could select more than one reason for their decision. In the </w:t>
      </w:r>
      <w:r w:rsidRPr="005031ED">
        <w:rPr>
          <w:rFonts w:ascii="Calibri" w:eastAsia="Arial" w:hAnsi="Calibri" w:cs="Calibri"/>
          <w:i/>
          <w:iCs/>
          <w:color w:val="000000" w:themeColor="text1"/>
        </w:rPr>
        <w:t>improvement</w:t>
      </w:r>
      <w:r w:rsidRPr="005031ED">
        <w:rPr>
          <w:rFonts w:ascii="Calibri" w:eastAsia="Arial" w:hAnsi="Calibri" w:cs="Calibri"/>
          <w:color w:val="000000" w:themeColor="text1"/>
        </w:rPr>
        <w:t xml:space="preserve"> scenario: 24 clinicians requested the POCT; of these, 20 initially elected to stop antibiotics (left panel) and 4 elected to continue (right panel). In the discordant scenario with clinical improvement (</w:t>
      </w:r>
      <w:r w:rsidRPr="005031ED">
        <w:rPr>
          <w:rFonts w:ascii="Calibri" w:eastAsia="Arial" w:hAnsi="Calibri" w:cs="Calibri"/>
          <w:i/>
          <w:iCs/>
          <w:color w:val="000000" w:themeColor="text1"/>
        </w:rPr>
        <w:t>disc clin better</w:t>
      </w:r>
      <w:r w:rsidRPr="005031ED">
        <w:rPr>
          <w:rFonts w:ascii="Calibri" w:eastAsia="Arial" w:hAnsi="Calibri" w:cs="Calibri"/>
          <w:color w:val="000000" w:themeColor="text1"/>
        </w:rPr>
        <w:t>): 39 clinicians requested the POCT; of these, 25 initially elected to stop (left panel) and 14 elected to continue (right panel). In the discordant scenario with clinical worsening (</w:t>
      </w:r>
      <w:r w:rsidRPr="005031ED">
        <w:rPr>
          <w:rFonts w:ascii="Calibri" w:eastAsia="Arial" w:hAnsi="Calibri" w:cs="Calibri"/>
          <w:i/>
          <w:iCs/>
          <w:color w:val="000000" w:themeColor="text1"/>
        </w:rPr>
        <w:t>disc clin worse</w:t>
      </w:r>
      <w:r w:rsidRPr="005031ED">
        <w:rPr>
          <w:rFonts w:ascii="Calibri" w:eastAsia="Arial" w:hAnsi="Calibri" w:cs="Calibri"/>
          <w:color w:val="000000" w:themeColor="text1"/>
        </w:rPr>
        <w:t xml:space="preserve">): 55 clinicians requested the POCT; of these, 24 initially elected to stop (left panel) and 31 elected to continue (right panel). In the </w:t>
      </w:r>
      <w:r w:rsidRPr="005031ED">
        <w:rPr>
          <w:rFonts w:ascii="Calibri" w:eastAsia="Arial" w:hAnsi="Calibri" w:cs="Calibri"/>
          <w:i/>
          <w:iCs/>
          <w:color w:val="000000" w:themeColor="text1"/>
        </w:rPr>
        <w:t>worsening</w:t>
      </w:r>
      <w:r w:rsidRPr="005031ED">
        <w:rPr>
          <w:rFonts w:ascii="Calibri" w:eastAsia="Arial" w:hAnsi="Calibri" w:cs="Calibri"/>
          <w:color w:val="000000" w:themeColor="text1"/>
        </w:rPr>
        <w:t xml:space="preserve"> scenario: 49 clinicians requested the POCT; of these, 3 initially elected to stop and 46 elected to continue. Data labels are omitted for readability. </w:t>
      </w:r>
    </w:p>
    <w:p w14:paraId="3334DA34" w14:textId="77777777" w:rsidR="007223B2" w:rsidRPr="005031ED" w:rsidRDefault="007223B2" w:rsidP="007223B2">
      <w:pPr>
        <w:spacing w:line="480" w:lineRule="auto"/>
        <w:rPr>
          <w:rFonts w:ascii="Calibri" w:eastAsia="Calibri" w:hAnsi="Calibri" w:cs="Calibri"/>
        </w:rPr>
      </w:pPr>
      <w:r w:rsidRPr="005031ED">
        <w:rPr>
          <w:rFonts w:ascii="Calibri" w:hAnsi="Calibri" w:cs="Calibri"/>
        </w:rPr>
        <w:lastRenderedPageBreak/>
        <w:br/>
      </w:r>
    </w:p>
    <w:p w14:paraId="0DA3DB9A" w14:textId="77777777" w:rsidR="007223B2" w:rsidRPr="005031ED" w:rsidRDefault="007223B2" w:rsidP="007223B2">
      <w:pPr>
        <w:spacing w:line="480" w:lineRule="auto"/>
        <w:rPr>
          <w:rFonts w:ascii="Calibri" w:eastAsia="Arial" w:hAnsi="Calibri" w:cs="Calibri"/>
          <w:color w:val="000000" w:themeColor="text1"/>
        </w:rPr>
      </w:pPr>
    </w:p>
    <w:p w14:paraId="622C6D33"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hAnsi="Calibri" w:cs="Calibri"/>
          <w:noProof/>
        </w:rPr>
        <w:drawing>
          <wp:inline distT="0" distB="0" distL="0" distR="0" wp14:anchorId="1E9932D3" wp14:editId="763F93A7">
            <wp:extent cx="5617534" cy="3019425"/>
            <wp:effectExtent l="0" t="0" r="0" b="0"/>
            <wp:docPr id="6" name="Picture 6"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5617534" cy="3019425"/>
                    </a:xfrm>
                    <a:prstGeom prst="rect">
                      <a:avLst/>
                    </a:prstGeom>
                  </pic:spPr>
                </pic:pic>
              </a:graphicData>
            </a:graphic>
          </wp:inline>
        </w:drawing>
      </w:r>
    </w:p>
    <w:p w14:paraId="5D661797" w14:textId="77777777" w:rsidR="007223B2" w:rsidRPr="005031ED" w:rsidRDefault="007223B2" w:rsidP="007223B2">
      <w:pPr>
        <w:spacing w:line="480" w:lineRule="auto"/>
        <w:rPr>
          <w:rFonts w:ascii="Calibri" w:eastAsia="Arial" w:hAnsi="Calibri" w:cs="Calibri"/>
          <w:color w:val="000000" w:themeColor="text1"/>
        </w:rPr>
      </w:pPr>
    </w:p>
    <w:p w14:paraId="30A3E26F"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i/>
          <w:iCs/>
          <w:color w:val="000000" w:themeColor="text1"/>
        </w:rPr>
        <w:t xml:space="preserve">Fig SM9b. Reasons given by clinicians for their decision to </w:t>
      </w:r>
      <w:r w:rsidRPr="005031ED">
        <w:rPr>
          <w:rFonts w:ascii="Calibri" w:eastAsia="Arial" w:hAnsi="Calibri" w:cs="Calibri"/>
          <w:b/>
          <w:bCs/>
          <w:i/>
          <w:iCs/>
          <w:color w:val="000000" w:themeColor="text1"/>
          <w:u w:val="single"/>
        </w:rPr>
        <w:t>reject</w:t>
      </w:r>
      <w:r w:rsidRPr="005031ED">
        <w:rPr>
          <w:rFonts w:ascii="Calibri" w:eastAsia="Arial" w:hAnsi="Calibri" w:cs="Calibri"/>
          <w:i/>
          <w:iCs/>
          <w:color w:val="000000" w:themeColor="text1"/>
        </w:rPr>
        <w:t xml:space="preserve"> POCT, per scenario and initial antibiotics decision. </w:t>
      </w:r>
      <w:r w:rsidRPr="005031ED">
        <w:rPr>
          <w:rFonts w:ascii="Calibri" w:eastAsia="Arial" w:hAnsi="Calibri" w:cs="Calibri"/>
          <w:color w:val="000000" w:themeColor="text1"/>
        </w:rPr>
        <w:t xml:space="preserve">Participants could select more than one reason. In the </w:t>
      </w:r>
      <w:r w:rsidRPr="005031ED">
        <w:rPr>
          <w:rFonts w:ascii="Calibri" w:eastAsia="Arial" w:hAnsi="Calibri" w:cs="Calibri"/>
          <w:i/>
          <w:iCs/>
          <w:color w:val="000000" w:themeColor="text1"/>
        </w:rPr>
        <w:t>improvement</w:t>
      </w:r>
      <w:r w:rsidRPr="005031ED">
        <w:rPr>
          <w:rFonts w:ascii="Calibri" w:eastAsia="Arial" w:hAnsi="Calibri" w:cs="Calibri"/>
          <w:color w:val="000000" w:themeColor="text1"/>
        </w:rPr>
        <w:t xml:space="preserve"> scenario: 38 clinicians rejected the POCT; of these, 34 initially elected to stop antibiotics (left panel) and 4 elected to continue (right panel). In the discordant scenario with clinical improvement (</w:t>
      </w:r>
      <w:r w:rsidRPr="005031ED">
        <w:rPr>
          <w:rFonts w:ascii="Calibri" w:eastAsia="Arial" w:hAnsi="Calibri" w:cs="Calibri"/>
          <w:i/>
          <w:iCs/>
          <w:color w:val="000000" w:themeColor="text1"/>
        </w:rPr>
        <w:t>disc clin better</w:t>
      </w:r>
      <w:r w:rsidRPr="005031ED">
        <w:rPr>
          <w:rFonts w:ascii="Calibri" w:eastAsia="Arial" w:hAnsi="Calibri" w:cs="Calibri"/>
          <w:color w:val="000000" w:themeColor="text1"/>
        </w:rPr>
        <w:t>): 27 clinicians rejected the POCT; of these, 23 initially elected to stop antibiotics (left panel) and 4 elected to continue (right panel). In the discordant scenario with clinical worsening (</w:t>
      </w:r>
      <w:r w:rsidRPr="005031ED">
        <w:rPr>
          <w:rFonts w:ascii="Calibri" w:eastAsia="Arial" w:hAnsi="Calibri" w:cs="Calibri"/>
          <w:i/>
          <w:iCs/>
          <w:color w:val="000000" w:themeColor="text1"/>
        </w:rPr>
        <w:t>disc clin worse</w:t>
      </w:r>
      <w:r w:rsidRPr="005031ED">
        <w:rPr>
          <w:rFonts w:ascii="Calibri" w:eastAsia="Arial" w:hAnsi="Calibri" w:cs="Calibri"/>
          <w:color w:val="000000" w:themeColor="text1"/>
        </w:rPr>
        <w:t xml:space="preserve">): 10 clinicians rejected the POCT; of these, 8 initially elected to stop (left panel) and 2 elected to continue (right panel). In the </w:t>
      </w:r>
      <w:r w:rsidRPr="005031ED">
        <w:rPr>
          <w:rFonts w:ascii="Calibri" w:eastAsia="Arial" w:hAnsi="Calibri" w:cs="Calibri"/>
          <w:i/>
          <w:iCs/>
          <w:color w:val="000000" w:themeColor="text1"/>
        </w:rPr>
        <w:t>worsening</w:t>
      </w:r>
      <w:r w:rsidRPr="005031ED">
        <w:rPr>
          <w:rFonts w:ascii="Calibri" w:eastAsia="Arial" w:hAnsi="Calibri" w:cs="Calibri"/>
          <w:color w:val="000000" w:themeColor="text1"/>
        </w:rPr>
        <w:t xml:space="preserve"> scenario: 16 clinicians rejected the POCT; of these, 1 initially elected to stop and 15 elected to continue. Data labels are omitted for readability. </w:t>
      </w:r>
    </w:p>
    <w:p w14:paraId="1A32895A" w14:textId="77777777" w:rsidR="007223B2" w:rsidRPr="005031ED" w:rsidRDefault="007223B2" w:rsidP="007223B2">
      <w:pPr>
        <w:spacing w:line="480" w:lineRule="auto"/>
        <w:rPr>
          <w:rFonts w:ascii="Calibri" w:eastAsia="Calibri" w:hAnsi="Calibri" w:cs="Calibri"/>
        </w:rPr>
      </w:pPr>
      <w:r w:rsidRPr="005031ED">
        <w:rPr>
          <w:rFonts w:ascii="Calibri" w:hAnsi="Calibri" w:cs="Calibri"/>
        </w:rPr>
        <w:lastRenderedPageBreak/>
        <w:br/>
      </w:r>
    </w:p>
    <w:p w14:paraId="1FCC110C" w14:textId="77777777" w:rsidR="007223B2" w:rsidRPr="005031ED" w:rsidRDefault="007223B2" w:rsidP="007223B2">
      <w:pPr>
        <w:spacing w:line="480" w:lineRule="auto"/>
        <w:rPr>
          <w:rFonts w:ascii="Calibri" w:eastAsia="Calibri" w:hAnsi="Calibri" w:cs="Calibri"/>
        </w:rPr>
      </w:pPr>
      <w:r w:rsidRPr="005031ED">
        <w:rPr>
          <w:rFonts w:ascii="Calibri" w:hAnsi="Calibri" w:cs="Calibri"/>
        </w:rPr>
        <w:br w:type="page"/>
      </w:r>
    </w:p>
    <w:p w14:paraId="72B6BA8B" w14:textId="77777777" w:rsidR="007223B2" w:rsidRPr="005031ED" w:rsidRDefault="007223B2" w:rsidP="007223B2">
      <w:pPr>
        <w:spacing w:line="480" w:lineRule="auto"/>
        <w:rPr>
          <w:rFonts w:ascii="Calibri" w:eastAsia="Calibri" w:hAnsi="Calibri" w:cs="Calibri"/>
        </w:rPr>
      </w:pPr>
    </w:p>
    <w:p w14:paraId="671F67BF" w14:textId="77777777" w:rsidR="007223B2" w:rsidRPr="005031ED" w:rsidRDefault="007223B2" w:rsidP="007223B2">
      <w:pPr>
        <w:spacing w:line="480" w:lineRule="auto"/>
        <w:rPr>
          <w:rFonts w:ascii="Calibri" w:eastAsia="Arial" w:hAnsi="Calibri" w:cs="Calibri"/>
          <w:color w:val="000000" w:themeColor="text1"/>
        </w:rPr>
      </w:pPr>
    </w:p>
    <w:p w14:paraId="3ADBF0F7"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rPr>
        <w:t xml:space="preserve">SM10. Comparison of consultants vs. trainees on key outcome measures </w:t>
      </w:r>
    </w:p>
    <w:p w14:paraId="22B800C2" w14:textId="77777777" w:rsidR="007223B2" w:rsidRPr="005031ED" w:rsidRDefault="007223B2" w:rsidP="007223B2">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tbl>
      <w:tblPr>
        <w:tblStyle w:val="TableGrid"/>
        <w:tblW w:w="0" w:type="auto"/>
        <w:tblLayout w:type="fixed"/>
        <w:tblLook w:val="06A0" w:firstRow="1" w:lastRow="0" w:firstColumn="1" w:lastColumn="0" w:noHBand="1" w:noVBand="1"/>
      </w:tblPr>
      <w:tblGrid>
        <w:gridCol w:w="3000"/>
        <w:gridCol w:w="3000"/>
        <w:gridCol w:w="3000"/>
      </w:tblGrid>
      <w:tr w:rsidR="007223B2" w:rsidRPr="005031ED" w14:paraId="43DD44CC"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01E1D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41433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u w:val="single"/>
              </w:rPr>
              <w:t>Consultants</w:t>
            </w:r>
            <w:r w:rsidRPr="005031ED">
              <w:rPr>
                <w:rFonts w:ascii="Calibri" w:eastAsia="Arial" w:hAnsi="Calibri" w:cs="Calibri"/>
                <w:color w:val="000000" w:themeColor="text1"/>
                <w:u w:val="single"/>
              </w:rPr>
              <w:t xml:space="preserve">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BBFCC8"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b/>
                <w:bCs/>
                <w:color w:val="000000" w:themeColor="text1"/>
                <w:u w:val="single"/>
              </w:rPr>
              <w:t>Trainees</w:t>
            </w:r>
            <w:r w:rsidRPr="005031ED">
              <w:rPr>
                <w:rFonts w:ascii="Calibri" w:eastAsia="Arial" w:hAnsi="Calibri" w:cs="Calibri"/>
                <w:color w:val="000000" w:themeColor="text1"/>
                <w:u w:val="single"/>
              </w:rPr>
              <w:t xml:space="preserve"> </w:t>
            </w:r>
          </w:p>
        </w:tc>
      </w:tr>
      <w:tr w:rsidR="007223B2" w:rsidRPr="005031ED" w14:paraId="2EF2FDD1"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A50C2C"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Initial antibiotics decision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D0A117"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54% stopped (39/72)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C0D689"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53% stopped (94/176) </w:t>
            </w:r>
          </w:p>
        </w:tc>
      </w:tr>
      <w:tr w:rsidR="007223B2" w:rsidRPr="005031ED" w14:paraId="7AAD75A3"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000FAC"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Initial inclination-to-stop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C65FDAC"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M=0.42, SD=4.76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C16E33"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M=0.31, SD=4.39 </w:t>
            </w:r>
          </w:p>
        </w:tc>
      </w:tr>
      <w:tr w:rsidR="007223B2" w:rsidRPr="005031ED" w14:paraId="7B79B879"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86E99F"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POCT requests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1BD58E5"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64% (46/72)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0824D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65% (114/176) </w:t>
            </w:r>
          </w:p>
        </w:tc>
      </w:tr>
      <w:tr w:rsidR="007223B2" w:rsidRPr="005031ED" w14:paraId="15EAF30F"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7A6E389"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Final antibiotics decision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73AFB3"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71% stopped (51/72)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2830F4"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69% stopped (121/176) </w:t>
            </w:r>
          </w:p>
        </w:tc>
      </w:tr>
      <w:tr w:rsidR="007223B2" w:rsidRPr="005031ED" w14:paraId="193E2B18" w14:textId="77777777" w:rsidTr="00351AB7">
        <w:trPr>
          <w:trHeight w:val="540"/>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7B4802"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Final inclination-to-stop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867275"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M=2.22 (SD=4.43)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E1C48D"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M=2.00 (SD=4.04) </w:t>
            </w:r>
          </w:p>
        </w:tc>
      </w:tr>
      <w:tr w:rsidR="007223B2" w:rsidRPr="005031ED" w14:paraId="4BBB9FB4" w14:textId="77777777" w:rsidTr="00351AB7">
        <w:trPr>
          <w:trHeight w:val="585"/>
        </w:trPr>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07F158"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Attitudes Towards Risk Taking score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C2643C"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M=10.78, SD=2.57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48C0C2B" w14:textId="77777777" w:rsidR="007223B2" w:rsidRPr="005031ED" w:rsidRDefault="007223B2" w:rsidP="00351AB7">
            <w:pPr>
              <w:spacing w:line="480" w:lineRule="auto"/>
              <w:rPr>
                <w:rFonts w:ascii="Calibri" w:eastAsia="Arial" w:hAnsi="Calibri" w:cs="Calibri"/>
                <w:color w:val="000000" w:themeColor="text1"/>
              </w:rPr>
            </w:pPr>
            <w:r w:rsidRPr="005031ED">
              <w:rPr>
                <w:rFonts w:ascii="Calibri" w:eastAsia="Arial" w:hAnsi="Calibri" w:cs="Calibri"/>
                <w:color w:val="000000" w:themeColor="text1"/>
              </w:rPr>
              <w:t xml:space="preserve">M=11.00, SD=3.44 </w:t>
            </w:r>
          </w:p>
        </w:tc>
      </w:tr>
    </w:tbl>
    <w:p w14:paraId="77EAA8E2" w14:textId="77777777" w:rsidR="007223B2" w:rsidRPr="005031ED" w:rsidRDefault="007223B2" w:rsidP="007223B2">
      <w:pPr>
        <w:spacing w:line="480" w:lineRule="auto"/>
        <w:rPr>
          <w:rFonts w:ascii="Calibri" w:eastAsia="Arial" w:hAnsi="Calibri" w:cs="Calibri"/>
          <w:i/>
          <w:iCs/>
          <w:color w:val="000000" w:themeColor="text1"/>
        </w:rPr>
      </w:pPr>
    </w:p>
    <w:p w14:paraId="005DE6E8" w14:textId="77777777" w:rsidR="007223B2" w:rsidRPr="005031ED" w:rsidRDefault="007223B2" w:rsidP="007223B2">
      <w:pPr>
        <w:spacing w:line="480" w:lineRule="auto"/>
        <w:rPr>
          <w:rFonts w:ascii="Calibri" w:eastAsia="Calibri" w:hAnsi="Calibri" w:cs="Calibri"/>
        </w:rPr>
      </w:pPr>
      <w:r w:rsidRPr="005031ED">
        <w:rPr>
          <w:rFonts w:ascii="Calibri" w:eastAsia="Arial" w:hAnsi="Calibri" w:cs="Calibri"/>
          <w:i/>
          <w:iCs/>
          <w:color w:val="000000" w:themeColor="text1"/>
        </w:rPr>
        <w:t>Table SM10. Comparison of consultants (left) vs. trainees (right) on key outcome measures. n</w:t>
      </w:r>
      <w:r w:rsidRPr="005031ED">
        <w:rPr>
          <w:rFonts w:ascii="Calibri" w:eastAsia="Arial" w:hAnsi="Calibri" w:cs="Calibri"/>
          <w:color w:val="000000" w:themeColor="text1"/>
        </w:rPr>
        <w:t>=18 consultants gave a total of 72 scenario responses;</w:t>
      </w:r>
      <w:r w:rsidRPr="005031ED">
        <w:rPr>
          <w:rFonts w:ascii="Calibri" w:eastAsia="Arial" w:hAnsi="Calibri" w:cs="Calibri"/>
          <w:i/>
          <w:iCs/>
          <w:color w:val="000000" w:themeColor="text1"/>
        </w:rPr>
        <w:t xml:space="preserve"> n</w:t>
      </w:r>
      <w:r w:rsidRPr="005031ED">
        <w:rPr>
          <w:rFonts w:ascii="Calibri" w:eastAsia="Arial" w:hAnsi="Calibri" w:cs="Calibri"/>
          <w:color w:val="000000" w:themeColor="text1"/>
        </w:rPr>
        <w:t xml:space="preserve">=44 trainees gave a total of 176 scenario responses; </w:t>
      </w:r>
      <w:r w:rsidRPr="005031ED">
        <w:rPr>
          <w:rFonts w:ascii="Calibri" w:eastAsia="Arial" w:hAnsi="Calibri" w:cs="Calibri"/>
          <w:i/>
          <w:iCs/>
          <w:color w:val="000000" w:themeColor="text1"/>
        </w:rPr>
        <w:t>n</w:t>
      </w:r>
      <w:r w:rsidRPr="005031ED">
        <w:rPr>
          <w:rFonts w:ascii="Calibri" w:eastAsia="Arial" w:hAnsi="Calibri" w:cs="Calibri"/>
          <w:color w:val="000000" w:themeColor="text1"/>
        </w:rPr>
        <w:t>=8 participants did not provide their grade (consultant vs. trainee) and were therefore excluded from this analysis.</w:t>
      </w:r>
      <w:r w:rsidRPr="005031ED">
        <w:rPr>
          <w:rFonts w:ascii="Calibri" w:hAnsi="Calibri" w:cs="Calibri"/>
        </w:rPr>
        <w:br/>
      </w:r>
    </w:p>
    <w:p w14:paraId="2D700F0D" w14:textId="77777777" w:rsidR="007223B2" w:rsidRPr="005031ED" w:rsidRDefault="007223B2" w:rsidP="007223B2">
      <w:pPr>
        <w:spacing w:line="480" w:lineRule="auto"/>
        <w:jc w:val="both"/>
        <w:rPr>
          <w:rFonts w:ascii="Calibri" w:eastAsia="Arial" w:hAnsi="Calibri" w:cs="Calibri"/>
          <w:color w:val="000000" w:themeColor="text1"/>
        </w:rPr>
      </w:pPr>
    </w:p>
    <w:p w14:paraId="3EFE251D" w14:textId="77777777" w:rsidR="007223B2" w:rsidRPr="005031ED" w:rsidRDefault="007223B2" w:rsidP="007223B2">
      <w:pPr>
        <w:spacing w:line="480" w:lineRule="auto"/>
        <w:rPr>
          <w:rFonts w:ascii="Calibri" w:eastAsia="Arial" w:hAnsi="Calibri" w:cs="Calibri"/>
          <w:color w:val="000000" w:themeColor="text1"/>
        </w:rPr>
      </w:pPr>
    </w:p>
    <w:p w14:paraId="36E2A506" w14:textId="77777777" w:rsidR="007223B2" w:rsidRPr="005031ED" w:rsidRDefault="007223B2" w:rsidP="007223B2">
      <w:pPr>
        <w:pStyle w:val="CommentText"/>
        <w:spacing w:line="480" w:lineRule="auto"/>
        <w:jc w:val="both"/>
        <w:rPr>
          <w:rFonts w:ascii="Calibri" w:hAnsi="Calibri" w:cs="Calibri"/>
          <w:color w:val="000000" w:themeColor="text1"/>
          <w:sz w:val="24"/>
          <w:szCs w:val="24"/>
        </w:rPr>
      </w:pPr>
    </w:p>
    <w:p w14:paraId="2FE1A8B4" w14:textId="77777777" w:rsidR="007223B2" w:rsidRPr="005031ED" w:rsidRDefault="007223B2" w:rsidP="007223B2">
      <w:pPr>
        <w:pStyle w:val="CommentText"/>
        <w:spacing w:line="480" w:lineRule="auto"/>
        <w:jc w:val="both"/>
        <w:rPr>
          <w:rFonts w:ascii="Calibri" w:hAnsi="Calibri" w:cs="Calibri"/>
          <w:color w:val="000000" w:themeColor="text1"/>
          <w:sz w:val="24"/>
          <w:szCs w:val="24"/>
        </w:rPr>
      </w:pPr>
    </w:p>
    <w:p w14:paraId="7F11CCD7" w14:textId="77777777" w:rsidR="007223B2" w:rsidRPr="005031ED" w:rsidRDefault="007223B2" w:rsidP="007223B2">
      <w:pPr>
        <w:pStyle w:val="CommentText"/>
        <w:spacing w:line="480" w:lineRule="auto"/>
        <w:jc w:val="both"/>
        <w:rPr>
          <w:rFonts w:ascii="Calibri" w:hAnsi="Calibri" w:cs="Calibri"/>
          <w:color w:val="000000" w:themeColor="text1"/>
          <w:sz w:val="24"/>
          <w:szCs w:val="24"/>
        </w:rPr>
      </w:pPr>
    </w:p>
    <w:p w14:paraId="2387EF40" w14:textId="77777777" w:rsidR="009440DB" w:rsidRDefault="007223B2"/>
    <w:sectPr w:rsidR="009440DB" w:rsidSect="00343839">
      <w:footerReference w:type="even" r:id="rId9"/>
      <w:footerReference w:type="default" r:id="rId1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0670E" w14:textId="77777777" w:rsidR="00645305" w:rsidRDefault="007223B2" w:rsidP="003438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04E4175" w14:textId="77777777" w:rsidR="00645305" w:rsidRDefault="007223B2" w:rsidP="003D6B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767943"/>
      <w:docPartObj>
        <w:docPartGallery w:val="Page Numbers (Bottom of Page)"/>
        <w:docPartUnique/>
      </w:docPartObj>
    </w:sdtPr>
    <w:sdtEndPr>
      <w:rPr>
        <w:rStyle w:val="PageNumber"/>
      </w:rPr>
    </w:sdtEndPr>
    <w:sdtContent>
      <w:p w14:paraId="0302242A" w14:textId="77777777" w:rsidR="00645305" w:rsidRDefault="007223B2" w:rsidP="003438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320C98" w14:textId="77777777" w:rsidR="00645305" w:rsidRDefault="007223B2" w:rsidP="00645305">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40AA2"/>
    <w:multiLevelType w:val="hybridMultilevel"/>
    <w:tmpl w:val="FFFFFFFF"/>
    <w:lvl w:ilvl="0" w:tplc="3676D04A">
      <w:start w:val="1"/>
      <w:numFmt w:val="bullet"/>
      <w:lvlText w:val=""/>
      <w:lvlJc w:val="left"/>
      <w:pPr>
        <w:ind w:left="720" w:hanging="360"/>
      </w:pPr>
      <w:rPr>
        <w:rFonts w:ascii="Symbol" w:hAnsi="Symbol" w:hint="default"/>
      </w:rPr>
    </w:lvl>
    <w:lvl w:ilvl="1" w:tplc="281E9312">
      <w:start w:val="1"/>
      <w:numFmt w:val="bullet"/>
      <w:lvlText w:val="o"/>
      <w:lvlJc w:val="left"/>
      <w:pPr>
        <w:ind w:left="1440" w:hanging="360"/>
      </w:pPr>
      <w:rPr>
        <w:rFonts w:ascii="Courier New" w:hAnsi="Courier New" w:hint="default"/>
      </w:rPr>
    </w:lvl>
    <w:lvl w:ilvl="2" w:tplc="B1CEC0FE">
      <w:start w:val="1"/>
      <w:numFmt w:val="bullet"/>
      <w:lvlText w:val=""/>
      <w:lvlJc w:val="left"/>
      <w:pPr>
        <w:ind w:left="2160" w:hanging="360"/>
      </w:pPr>
      <w:rPr>
        <w:rFonts w:ascii="Wingdings" w:hAnsi="Wingdings" w:hint="default"/>
      </w:rPr>
    </w:lvl>
    <w:lvl w:ilvl="3" w:tplc="809C4134">
      <w:start w:val="1"/>
      <w:numFmt w:val="bullet"/>
      <w:lvlText w:val=""/>
      <w:lvlJc w:val="left"/>
      <w:pPr>
        <w:ind w:left="2880" w:hanging="360"/>
      </w:pPr>
      <w:rPr>
        <w:rFonts w:ascii="Symbol" w:hAnsi="Symbol" w:hint="default"/>
      </w:rPr>
    </w:lvl>
    <w:lvl w:ilvl="4" w:tplc="D66C76CA">
      <w:start w:val="1"/>
      <w:numFmt w:val="bullet"/>
      <w:lvlText w:val="o"/>
      <w:lvlJc w:val="left"/>
      <w:pPr>
        <w:ind w:left="3600" w:hanging="360"/>
      </w:pPr>
      <w:rPr>
        <w:rFonts w:ascii="Courier New" w:hAnsi="Courier New" w:hint="default"/>
      </w:rPr>
    </w:lvl>
    <w:lvl w:ilvl="5" w:tplc="8926ECDA">
      <w:start w:val="1"/>
      <w:numFmt w:val="bullet"/>
      <w:lvlText w:val=""/>
      <w:lvlJc w:val="left"/>
      <w:pPr>
        <w:ind w:left="4320" w:hanging="360"/>
      </w:pPr>
      <w:rPr>
        <w:rFonts w:ascii="Wingdings" w:hAnsi="Wingdings" w:hint="default"/>
      </w:rPr>
    </w:lvl>
    <w:lvl w:ilvl="6" w:tplc="06EE1576">
      <w:start w:val="1"/>
      <w:numFmt w:val="bullet"/>
      <w:lvlText w:val=""/>
      <w:lvlJc w:val="left"/>
      <w:pPr>
        <w:ind w:left="5040" w:hanging="360"/>
      </w:pPr>
      <w:rPr>
        <w:rFonts w:ascii="Symbol" w:hAnsi="Symbol" w:hint="default"/>
      </w:rPr>
    </w:lvl>
    <w:lvl w:ilvl="7" w:tplc="AE42BBAC">
      <w:start w:val="1"/>
      <w:numFmt w:val="bullet"/>
      <w:lvlText w:val="o"/>
      <w:lvlJc w:val="left"/>
      <w:pPr>
        <w:ind w:left="5760" w:hanging="360"/>
      </w:pPr>
      <w:rPr>
        <w:rFonts w:ascii="Courier New" w:hAnsi="Courier New" w:hint="default"/>
      </w:rPr>
    </w:lvl>
    <w:lvl w:ilvl="8" w:tplc="67104E14">
      <w:start w:val="1"/>
      <w:numFmt w:val="bullet"/>
      <w:lvlText w:val=""/>
      <w:lvlJc w:val="left"/>
      <w:pPr>
        <w:ind w:left="6480" w:hanging="360"/>
      </w:pPr>
      <w:rPr>
        <w:rFonts w:ascii="Wingdings" w:hAnsi="Wingdings" w:hint="default"/>
      </w:rPr>
    </w:lvl>
  </w:abstractNum>
  <w:abstractNum w:abstractNumId="1" w15:restartNumberingAfterBreak="0">
    <w:nsid w:val="63A335E1"/>
    <w:multiLevelType w:val="hybridMultilevel"/>
    <w:tmpl w:val="FFFFFFFF"/>
    <w:lvl w:ilvl="0" w:tplc="7BDC093E">
      <w:start w:val="1"/>
      <w:numFmt w:val="bullet"/>
      <w:lvlText w:val=""/>
      <w:lvlJc w:val="left"/>
      <w:pPr>
        <w:ind w:left="720" w:hanging="360"/>
      </w:pPr>
      <w:rPr>
        <w:rFonts w:ascii="Symbol" w:hAnsi="Symbol" w:hint="default"/>
      </w:rPr>
    </w:lvl>
    <w:lvl w:ilvl="1" w:tplc="D566233E">
      <w:start w:val="1"/>
      <w:numFmt w:val="bullet"/>
      <w:lvlText w:val="o"/>
      <w:lvlJc w:val="left"/>
      <w:pPr>
        <w:ind w:left="1440" w:hanging="360"/>
      </w:pPr>
      <w:rPr>
        <w:rFonts w:ascii="Courier New" w:hAnsi="Courier New" w:hint="default"/>
      </w:rPr>
    </w:lvl>
    <w:lvl w:ilvl="2" w:tplc="6CE04052">
      <w:start w:val="1"/>
      <w:numFmt w:val="bullet"/>
      <w:lvlText w:val=""/>
      <w:lvlJc w:val="left"/>
      <w:pPr>
        <w:ind w:left="2160" w:hanging="360"/>
      </w:pPr>
      <w:rPr>
        <w:rFonts w:ascii="Wingdings" w:hAnsi="Wingdings" w:hint="default"/>
      </w:rPr>
    </w:lvl>
    <w:lvl w:ilvl="3" w:tplc="0B76EC80">
      <w:start w:val="1"/>
      <w:numFmt w:val="bullet"/>
      <w:lvlText w:val=""/>
      <w:lvlJc w:val="left"/>
      <w:pPr>
        <w:ind w:left="2880" w:hanging="360"/>
      </w:pPr>
      <w:rPr>
        <w:rFonts w:ascii="Symbol" w:hAnsi="Symbol" w:hint="default"/>
      </w:rPr>
    </w:lvl>
    <w:lvl w:ilvl="4" w:tplc="A6545958">
      <w:start w:val="1"/>
      <w:numFmt w:val="bullet"/>
      <w:lvlText w:val="o"/>
      <w:lvlJc w:val="left"/>
      <w:pPr>
        <w:ind w:left="3600" w:hanging="360"/>
      </w:pPr>
      <w:rPr>
        <w:rFonts w:ascii="Courier New" w:hAnsi="Courier New" w:hint="default"/>
      </w:rPr>
    </w:lvl>
    <w:lvl w:ilvl="5" w:tplc="05248D2E">
      <w:start w:val="1"/>
      <w:numFmt w:val="bullet"/>
      <w:lvlText w:val=""/>
      <w:lvlJc w:val="left"/>
      <w:pPr>
        <w:ind w:left="4320" w:hanging="360"/>
      </w:pPr>
      <w:rPr>
        <w:rFonts w:ascii="Wingdings" w:hAnsi="Wingdings" w:hint="default"/>
      </w:rPr>
    </w:lvl>
    <w:lvl w:ilvl="6" w:tplc="93C8D4A0">
      <w:start w:val="1"/>
      <w:numFmt w:val="bullet"/>
      <w:lvlText w:val=""/>
      <w:lvlJc w:val="left"/>
      <w:pPr>
        <w:ind w:left="5040" w:hanging="360"/>
      </w:pPr>
      <w:rPr>
        <w:rFonts w:ascii="Symbol" w:hAnsi="Symbol" w:hint="default"/>
      </w:rPr>
    </w:lvl>
    <w:lvl w:ilvl="7" w:tplc="B7B2B984">
      <w:start w:val="1"/>
      <w:numFmt w:val="bullet"/>
      <w:lvlText w:val="o"/>
      <w:lvlJc w:val="left"/>
      <w:pPr>
        <w:ind w:left="5760" w:hanging="360"/>
      </w:pPr>
      <w:rPr>
        <w:rFonts w:ascii="Courier New" w:hAnsi="Courier New" w:hint="default"/>
      </w:rPr>
    </w:lvl>
    <w:lvl w:ilvl="8" w:tplc="92ECD6C6">
      <w:start w:val="1"/>
      <w:numFmt w:val="bullet"/>
      <w:lvlText w:val=""/>
      <w:lvlJc w:val="left"/>
      <w:pPr>
        <w:ind w:left="6480" w:hanging="360"/>
      </w:pPr>
      <w:rPr>
        <w:rFonts w:ascii="Wingdings" w:hAnsi="Wingdings" w:hint="default"/>
      </w:rPr>
    </w:lvl>
  </w:abstractNum>
  <w:abstractNum w:abstractNumId="2" w15:restartNumberingAfterBreak="0">
    <w:nsid w:val="7BDF76AF"/>
    <w:multiLevelType w:val="hybridMultilevel"/>
    <w:tmpl w:val="FFFFFFFF"/>
    <w:lvl w:ilvl="0" w:tplc="BE5687F6">
      <w:start w:val="1"/>
      <w:numFmt w:val="lowerLetter"/>
      <w:lvlText w:val="%1."/>
      <w:lvlJc w:val="left"/>
      <w:pPr>
        <w:ind w:left="720" w:hanging="360"/>
      </w:pPr>
    </w:lvl>
    <w:lvl w:ilvl="1" w:tplc="6A0A79AC">
      <w:start w:val="1"/>
      <w:numFmt w:val="lowerLetter"/>
      <w:lvlText w:val="%2."/>
      <w:lvlJc w:val="left"/>
      <w:pPr>
        <w:ind w:left="1440" w:hanging="360"/>
      </w:pPr>
    </w:lvl>
    <w:lvl w:ilvl="2" w:tplc="3A9AAE1E">
      <w:start w:val="1"/>
      <w:numFmt w:val="lowerRoman"/>
      <w:lvlText w:val="%3."/>
      <w:lvlJc w:val="right"/>
      <w:pPr>
        <w:ind w:left="2160" w:hanging="180"/>
      </w:pPr>
    </w:lvl>
    <w:lvl w:ilvl="3" w:tplc="23B8CD20">
      <w:start w:val="1"/>
      <w:numFmt w:val="decimal"/>
      <w:lvlText w:val="%4."/>
      <w:lvlJc w:val="left"/>
      <w:pPr>
        <w:ind w:left="2880" w:hanging="360"/>
      </w:pPr>
    </w:lvl>
    <w:lvl w:ilvl="4" w:tplc="C9660948">
      <w:start w:val="1"/>
      <w:numFmt w:val="lowerLetter"/>
      <w:lvlText w:val="%5."/>
      <w:lvlJc w:val="left"/>
      <w:pPr>
        <w:ind w:left="3600" w:hanging="360"/>
      </w:pPr>
    </w:lvl>
    <w:lvl w:ilvl="5" w:tplc="69566BAE">
      <w:start w:val="1"/>
      <w:numFmt w:val="lowerRoman"/>
      <w:lvlText w:val="%6."/>
      <w:lvlJc w:val="right"/>
      <w:pPr>
        <w:ind w:left="4320" w:hanging="180"/>
      </w:pPr>
    </w:lvl>
    <w:lvl w:ilvl="6" w:tplc="8DB25F60">
      <w:start w:val="1"/>
      <w:numFmt w:val="decimal"/>
      <w:lvlText w:val="%7."/>
      <w:lvlJc w:val="left"/>
      <w:pPr>
        <w:ind w:left="5040" w:hanging="360"/>
      </w:pPr>
    </w:lvl>
    <w:lvl w:ilvl="7" w:tplc="66D428FE">
      <w:start w:val="1"/>
      <w:numFmt w:val="lowerLetter"/>
      <w:lvlText w:val="%8."/>
      <w:lvlJc w:val="left"/>
      <w:pPr>
        <w:ind w:left="5760" w:hanging="360"/>
      </w:pPr>
    </w:lvl>
    <w:lvl w:ilvl="8" w:tplc="1BD4083A">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3B2"/>
    <w:rsid w:val="002E2C73"/>
    <w:rsid w:val="002F3130"/>
    <w:rsid w:val="007223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767AC55"/>
  <w15:chartTrackingRefBased/>
  <w15:docId w15:val="{ED78E6C7-95B8-9C48-B3D4-3C3E06F8E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3B2"/>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223B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3B2"/>
    <w:rPr>
      <w:rFonts w:asciiTheme="majorHAnsi" w:eastAsiaTheme="majorEastAsia" w:hAnsiTheme="majorHAnsi" w:cstheme="majorBidi"/>
      <w:color w:val="2F5496" w:themeColor="accent1" w:themeShade="BF"/>
      <w:sz w:val="32"/>
      <w:szCs w:val="32"/>
      <w:lang w:eastAsia="en-GB"/>
    </w:rPr>
  </w:style>
  <w:style w:type="paragraph" w:styleId="ListParagraph">
    <w:name w:val="List Paragraph"/>
    <w:basedOn w:val="Normal"/>
    <w:link w:val="ListParagraphChar"/>
    <w:uiPriority w:val="34"/>
    <w:qFormat/>
    <w:rsid w:val="007223B2"/>
    <w:pPr>
      <w:ind w:left="720"/>
      <w:contextualSpacing/>
    </w:pPr>
  </w:style>
  <w:style w:type="character" w:customStyle="1" w:styleId="ListParagraphChar">
    <w:name w:val="List Paragraph Char"/>
    <w:basedOn w:val="DefaultParagraphFont"/>
    <w:link w:val="ListParagraph"/>
    <w:uiPriority w:val="34"/>
    <w:rsid w:val="007223B2"/>
    <w:rPr>
      <w:rFonts w:ascii="Times New Roman" w:eastAsia="Times New Roman" w:hAnsi="Times New Roman" w:cs="Times New Roman"/>
      <w:lang w:eastAsia="en-GB"/>
    </w:rPr>
  </w:style>
  <w:style w:type="paragraph" w:styleId="CommentText">
    <w:name w:val="annotation text"/>
    <w:basedOn w:val="Normal"/>
    <w:link w:val="CommentTextChar"/>
    <w:uiPriority w:val="99"/>
    <w:unhideWhenUsed/>
    <w:rsid w:val="007223B2"/>
    <w:rPr>
      <w:sz w:val="20"/>
      <w:szCs w:val="20"/>
    </w:rPr>
  </w:style>
  <w:style w:type="character" w:customStyle="1" w:styleId="CommentTextChar">
    <w:name w:val="Comment Text Char"/>
    <w:basedOn w:val="DefaultParagraphFont"/>
    <w:link w:val="CommentText"/>
    <w:uiPriority w:val="99"/>
    <w:rsid w:val="007223B2"/>
    <w:rPr>
      <w:rFonts w:ascii="Times New Roman" w:eastAsia="Times New Roman" w:hAnsi="Times New Roman" w:cs="Times New Roman"/>
      <w:sz w:val="20"/>
      <w:szCs w:val="20"/>
      <w:lang w:eastAsia="en-GB"/>
    </w:rPr>
  </w:style>
  <w:style w:type="table" w:styleId="TableGrid">
    <w:name w:val="Table Grid"/>
    <w:basedOn w:val="TableNormal"/>
    <w:uiPriority w:val="39"/>
    <w:rsid w:val="007223B2"/>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7223B2"/>
    <w:pPr>
      <w:tabs>
        <w:tab w:val="center" w:pos="4513"/>
        <w:tab w:val="right" w:pos="9026"/>
      </w:tabs>
    </w:pPr>
  </w:style>
  <w:style w:type="character" w:customStyle="1" w:styleId="FooterChar">
    <w:name w:val="Footer Char"/>
    <w:basedOn w:val="DefaultParagraphFont"/>
    <w:link w:val="Footer"/>
    <w:uiPriority w:val="99"/>
    <w:rsid w:val="007223B2"/>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722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2632</Words>
  <Characters>15426</Characters>
  <Application>Microsoft Office Word</Application>
  <DocSecurity>0</DocSecurity>
  <Lines>302</Lines>
  <Paragraphs>102</Paragraphs>
  <ScaleCrop>false</ScaleCrop>
  <Company/>
  <LinksUpToDate>false</LinksUpToDate>
  <CharactersWithSpaces>17956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Suveer</dc:creator>
  <cp:keywords/>
  <dc:description/>
  <cp:lastModifiedBy>Singh Suveer</cp:lastModifiedBy>
  <cp:revision>1</cp:revision>
  <dcterms:created xsi:type="dcterms:W3CDTF">2022-04-08T20:53:00Z</dcterms:created>
  <dcterms:modified xsi:type="dcterms:W3CDTF">2022-04-08T20:54:00Z</dcterms:modified>
</cp:coreProperties>
</file>