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BADA7" w14:textId="28F79FE2" w:rsidR="00136895" w:rsidRPr="00360996" w:rsidRDefault="00774664" w:rsidP="00315330">
      <w:pPr>
        <w:pStyle w:val="Heading1"/>
      </w:pPr>
      <w:r>
        <w:t>Supplementary</w:t>
      </w:r>
      <w:r w:rsidR="00136895">
        <w:t xml:space="preserve"> material </w:t>
      </w:r>
      <w:r>
        <w:t xml:space="preserve">- </w:t>
      </w:r>
      <w:r w:rsidRPr="00774664">
        <w:t xml:space="preserve">Land-use suitability is not an intrinsic property of a </w:t>
      </w:r>
      <w:r w:rsidRPr="00360996">
        <w:t>land parcel.</w:t>
      </w:r>
    </w:p>
    <w:p w14:paraId="66CAE976" w14:textId="3C814755" w:rsidR="00D457BD" w:rsidRDefault="009D55FC" w:rsidP="00D457BD">
      <w:pPr>
        <w:spacing w:line="480" w:lineRule="auto"/>
      </w:pPr>
      <w:r w:rsidRPr="00360996">
        <w:t>Th</w:t>
      </w:r>
      <w:r w:rsidR="0094301A" w:rsidRPr="00360996">
        <w:t xml:space="preserve">is supplementary material </w:t>
      </w:r>
      <w:r w:rsidRPr="00360996">
        <w:t>contain</w:t>
      </w:r>
      <w:r w:rsidR="0094301A" w:rsidRPr="00360996">
        <w:t>s</w:t>
      </w:r>
      <w:r w:rsidRPr="00360996">
        <w:t xml:space="preserve"> details </w:t>
      </w:r>
      <w:r w:rsidR="0094301A" w:rsidRPr="00360996">
        <w:t>of the nutrient criteria</w:t>
      </w:r>
      <w:r w:rsidR="00D457BD" w:rsidRPr="00360996">
        <w:t xml:space="preserve"> that were</w:t>
      </w:r>
      <w:r w:rsidRPr="00360996">
        <w:t xml:space="preserve"> used to </w:t>
      </w:r>
      <w:r w:rsidR="00D457BD" w:rsidRPr="00360996">
        <w:t xml:space="preserve">model the land-water system in the Southland </w:t>
      </w:r>
      <w:r w:rsidR="00937A21" w:rsidRPr="00360996">
        <w:t>study area</w:t>
      </w:r>
      <w:r w:rsidR="00D457BD" w:rsidRPr="00360996">
        <w:t>.</w:t>
      </w:r>
    </w:p>
    <w:p w14:paraId="51E52BD3" w14:textId="5F3AE9A9" w:rsidR="005B4B26" w:rsidRDefault="00946A50" w:rsidP="006E360D">
      <w:pPr>
        <w:pStyle w:val="Heading1"/>
      </w:pPr>
      <w:r>
        <w:t>N</w:t>
      </w:r>
      <w:r w:rsidR="006E360D">
        <w:t>utrient criteria</w:t>
      </w:r>
      <w:r w:rsidR="005D2896">
        <w:t xml:space="preserve"> for rivers</w:t>
      </w:r>
    </w:p>
    <w:p w14:paraId="6F337E28" w14:textId="3EBD65A9" w:rsidR="00427B20" w:rsidRDefault="006E360D" w:rsidP="00775F4A">
      <w:pPr>
        <w:spacing w:line="480" w:lineRule="auto"/>
      </w:pPr>
      <w:r w:rsidRPr="00B96486">
        <w:t xml:space="preserve">The </w:t>
      </w:r>
      <w:r w:rsidR="0012759F" w:rsidRPr="006D7B2F">
        <w:t>National Policy Statement for Freshwater Management (NPS</w:t>
      </w:r>
      <w:r w:rsidR="0012759F">
        <w:t>-</w:t>
      </w:r>
      <w:r w:rsidR="0012759F" w:rsidRPr="006D7B2F">
        <w:t>FM;</w:t>
      </w:r>
      <w:r w:rsidR="0012759F">
        <w:t xml:space="preserve"> </w:t>
      </w:r>
      <w:r w:rsidR="0012759F" w:rsidRPr="006D7B2F">
        <w:fldChar w:fldCharType="begin"/>
      </w:r>
      <w:r w:rsidR="0012759F">
        <w:instrText xml:space="preserve"> ADDIN ZOTERO_ITEM CSL_CITATION {"citationID":"hLmy2TXp","properties":{"formattedCitation":"(NZ Government 2020)","plainCitation":"(NZ Government 2020)","dontUpdate":true,"noteIndex":0},"citationItems":[{"id":3830,"uris":["http://zotero.org/groups/2329384/items/VKK5PPH3"],"itemData":{"id":3830,"type":"legislation","page":"70","title":"National Policy Statement for Freshwater Management 2020","URL":"http://www.mfe.govt.nz/publications/rma/nps-freshwater-management-2014/nps-freshwater-management-jul-14.pdf","author":[{"literal":"NZ Government"}],"issued":{"date-parts":[["2020"]]}}}],"schema":"https://github.com/citation-style-language/schema/raw/master/csl-citation.json"} </w:instrText>
      </w:r>
      <w:r w:rsidR="0012759F" w:rsidRPr="006D7B2F">
        <w:fldChar w:fldCharType="separate"/>
      </w:r>
      <w:r w:rsidR="0012759F" w:rsidRPr="003A3E4E">
        <w:t>NZ Government 2020)</w:t>
      </w:r>
      <w:r w:rsidR="0012759F" w:rsidRPr="006D7B2F">
        <w:fldChar w:fldCharType="end"/>
      </w:r>
      <w:r w:rsidR="0012759F">
        <w:t xml:space="preserve"> </w:t>
      </w:r>
      <w:r w:rsidRPr="00B96486">
        <w:t xml:space="preserve">includes the National Objectives Framework (NOF), which specifies ‘attributes’ (water quality indicators) that regional councils (regional regulatory authorities in New Zealand) must use to define numeric </w:t>
      </w:r>
      <w:r w:rsidR="00984D8D">
        <w:t>objectives</w:t>
      </w:r>
      <w:r w:rsidRPr="00B96486">
        <w:t xml:space="preserve"> for water quality. Attributes provide a graduated range of stringency consisting of A, B</w:t>
      </w:r>
      <w:r w:rsidR="00D63202">
        <w:t>,</w:t>
      </w:r>
      <w:r w:rsidR="00031431">
        <w:t xml:space="preserve"> </w:t>
      </w:r>
      <w:r w:rsidRPr="00B96486">
        <w:t>C</w:t>
      </w:r>
      <w:r w:rsidR="00D63202">
        <w:t xml:space="preserve"> and D</w:t>
      </w:r>
      <w:r w:rsidR="00031431">
        <w:t xml:space="preserve"> </w:t>
      </w:r>
      <w:r w:rsidRPr="00B96486">
        <w:t>‘bands’</w:t>
      </w:r>
      <w:r w:rsidR="000F00CF">
        <w:t xml:space="preserve"> where </w:t>
      </w:r>
      <w:r w:rsidR="000F00CF" w:rsidRPr="00124DD3">
        <w:t>A indicat</w:t>
      </w:r>
      <w:r w:rsidR="000F00CF">
        <w:t xml:space="preserve">es </w:t>
      </w:r>
      <w:r w:rsidR="000F00CF" w:rsidRPr="00124DD3">
        <w:t>near natural condition and</w:t>
      </w:r>
      <w:r w:rsidR="00D63202">
        <w:t xml:space="preserve"> the </w:t>
      </w:r>
      <w:r w:rsidR="002123ED">
        <w:t>D</w:t>
      </w:r>
      <w:r w:rsidR="00D63202">
        <w:t xml:space="preserve">-band </w:t>
      </w:r>
      <w:r w:rsidR="005464AC">
        <w:t>representing a</w:t>
      </w:r>
      <w:r w:rsidR="00E8435F">
        <w:t xml:space="preserve"> state that is </w:t>
      </w:r>
      <w:r w:rsidR="005464AC">
        <w:t>unacceptable</w:t>
      </w:r>
      <w:r w:rsidR="00F15A81">
        <w:t xml:space="preserve"> in all rivers</w:t>
      </w:r>
      <w:r w:rsidRPr="00B96486">
        <w:t xml:space="preserve">. </w:t>
      </w:r>
      <w:r w:rsidR="00A02AFD">
        <w:t>Choosing</w:t>
      </w:r>
      <w:r w:rsidR="00686208">
        <w:t xml:space="preserve"> </w:t>
      </w:r>
      <w:r w:rsidR="00BF4576" w:rsidRPr="00B96486">
        <w:t xml:space="preserve">water quality </w:t>
      </w:r>
      <w:r w:rsidR="00512AC9">
        <w:t>objectives</w:t>
      </w:r>
      <w:r w:rsidR="00512AC9" w:rsidRPr="00B96486">
        <w:t xml:space="preserve"> </w:t>
      </w:r>
      <w:r w:rsidR="00686208">
        <w:t xml:space="preserve">from the acceptable </w:t>
      </w:r>
      <w:r w:rsidRPr="00B96486">
        <w:t>band</w:t>
      </w:r>
      <w:r w:rsidR="00F15A81">
        <w:t>s (A to C</w:t>
      </w:r>
      <w:r w:rsidR="002D03BD">
        <w:t>, where C is the minimal acceptable state</w:t>
      </w:r>
      <w:r w:rsidR="00F15A81">
        <w:t>)</w:t>
      </w:r>
      <w:r w:rsidRPr="00B96486">
        <w:t xml:space="preserve"> </w:t>
      </w:r>
      <w:r w:rsidR="00BF4576">
        <w:t xml:space="preserve">is </w:t>
      </w:r>
      <w:r w:rsidR="003214C4">
        <w:t xml:space="preserve">the responsibility of regional councils and </w:t>
      </w:r>
      <w:r w:rsidR="00E146F2">
        <w:t xml:space="preserve">must consider </w:t>
      </w:r>
      <w:r w:rsidR="005C0374">
        <w:t xml:space="preserve">the impact on </w:t>
      </w:r>
      <w:r w:rsidRPr="00B96486">
        <w:t xml:space="preserve">social, cultural, economic and/or ecological values. </w:t>
      </w:r>
    </w:p>
    <w:p w14:paraId="6E969EDB" w14:textId="2ED17B0E" w:rsidR="005641F4" w:rsidRPr="00F01273" w:rsidRDefault="006E360D" w:rsidP="005641F4">
      <w:pPr>
        <w:spacing w:line="480" w:lineRule="auto"/>
      </w:pPr>
      <w:r w:rsidRPr="00B96486">
        <w:t xml:space="preserve">With respect to nitrogen and rivers, the </w:t>
      </w:r>
      <w:r w:rsidR="000C6A44">
        <w:t xml:space="preserve">NOF </w:t>
      </w:r>
      <w:r w:rsidRPr="00B96486">
        <w:t xml:space="preserve">defines </w:t>
      </w:r>
      <w:r w:rsidR="005970DD">
        <w:t>three</w:t>
      </w:r>
      <w:r w:rsidRPr="00B96486">
        <w:t xml:space="preserve"> relevant attributes; periphyton biomass (algae attached to the surfaces of riverbeds), and nitrate and ammonia toxicity. </w:t>
      </w:r>
      <w:r w:rsidR="00775F4A">
        <w:t>Eutrophication of rivers due to enrichment by nutrients, primarily nitrogen and phosphorus, is a significant environmental issue</w:t>
      </w:r>
      <w:r w:rsidR="005E1769">
        <w:t xml:space="preserve"> in New Zealand</w:t>
      </w:r>
      <w:r w:rsidR="00182C6E">
        <w:t xml:space="preserve"> </w:t>
      </w:r>
      <w:r w:rsidR="00770395">
        <w:fldChar w:fldCharType="begin"/>
      </w:r>
      <w:r w:rsidR="00770395">
        <w:instrText xml:space="preserve"> ADDIN ZOTERO_ITEM CSL_CITATION {"citationID":"GBMgoD14","properties":{"formattedCitation":"(Biggs and Price 1987)","plainCitation":"(Biggs and Price 1987)","noteIndex":0},"citationItems":[{"id":2794,"uris":["http://zotero.org/groups/2329384/items/GTVLL3P7"],"itemData":{"id":2794,"type":"article-journal","container-title":"New Zealand Journal of Marine and Freshwater Research","issue":"2","page":"175-191","title":"A survey of filamentous algal proliferations in New Zealand rivers","volume":"21","author":[{"family":"Biggs","given":"B.J.F."},{"family":"Price","given":"G.M."}],"issued":{"date-parts":[["1987"]]}}}],"schema":"https://github.com/citation-style-language/schema/raw/master/csl-citation.json"} </w:instrText>
      </w:r>
      <w:r w:rsidR="00770395">
        <w:fldChar w:fldCharType="separate"/>
      </w:r>
      <w:r w:rsidR="00770395" w:rsidRPr="00770395">
        <w:rPr>
          <w:rFonts w:cs="Times New Roman"/>
        </w:rPr>
        <w:t>(Biggs and Price 1987)</w:t>
      </w:r>
      <w:r w:rsidR="00770395">
        <w:fldChar w:fldCharType="end"/>
      </w:r>
      <w:r w:rsidR="005E1769">
        <w:t xml:space="preserve">. The periphyton attribute </w:t>
      </w:r>
      <w:r w:rsidR="0044092A">
        <w:t>is used to define</w:t>
      </w:r>
      <w:r w:rsidR="00716590">
        <w:t xml:space="preserve"> </w:t>
      </w:r>
      <w:r w:rsidR="007C0427">
        <w:t xml:space="preserve">trophic state </w:t>
      </w:r>
      <w:r w:rsidR="0044092A" w:rsidRPr="001A754F">
        <w:t xml:space="preserve">objectives for </w:t>
      </w:r>
      <w:r w:rsidR="007C0427" w:rsidRPr="001A754F">
        <w:t xml:space="preserve">rivers based on a </w:t>
      </w:r>
      <w:r w:rsidR="00D368D8" w:rsidRPr="001A754F">
        <w:t>limiting</w:t>
      </w:r>
      <w:r w:rsidR="007C0427" w:rsidRPr="001A754F">
        <w:t xml:space="preserve"> </w:t>
      </w:r>
      <w:r w:rsidR="005970DD" w:rsidRPr="001A754F">
        <w:t xml:space="preserve">algal </w:t>
      </w:r>
      <w:r w:rsidR="00096EE5" w:rsidRPr="001A754F">
        <w:t>biomass</w:t>
      </w:r>
      <w:r w:rsidR="00B04F6D" w:rsidRPr="001A754F">
        <w:t>.</w:t>
      </w:r>
      <w:r w:rsidR="00173A83" w:rsidRPr="001A754F">
        <w:t xml:space="preserve"> </w:t>
      </w:r>
      <w:r w:rsidR="00766C17" w:rsidRPr="001A754F">
        <w:t xml:space="preserve">The NPS-FM requires that water quality </w:t>
      </w:r>
      <w:r w:rsidR="00D368D8" w:rsidRPr="001A754F">
        <w:t xml:space="preserve">objectives </w:t>
      </w:r>
      <w:r w:rsidR="00766C17" w:rsidRPr="001A754F">
        <w:t>for periphyton</w:t>
      </w:r>
      <w:r w:rsidR="00D368D8" w:rsidRPr="001A754F">
        <w:t xml:space="preserve"> biomass</w:t>
      </w:r>
      <w:r w:rsidR="00766C17" w:rsidRPr="001A754F">
        <w:t xml:space="preserve"> are set for all streams and rivers by choosing from the A, B or C band, which are defined by algal biomass thresholds of 50 mg m</w:t>
      </w:r>
      <w:r w:rsidR="00766C17" w:rsidRPr="001A754F">
        <w:rPr>
          <w:vertAlign w:val="superscript"/>
        </w:rPr>
        <w:t>-2</w:t>
      </w:r>
      <w:r w:rsidR="00766C17" w:rsidRPr="001A754F">
        <w:t>, 120 mg m</w:t>
      </w:r>
      <w:r w:rsidR="00766C17" w:rsidRPr="001A754F">
        <w:rPr>
          <w:vertAlign w:val="superscript"/>
        </w:rPr>
        <w:t>-2</w:t>
      </w:r>
      <w:r w:rsidR="00766C17" w:rsidRPr="001A754F">
        <w:t>, 200 mg m</w:t>
      </w:r>
      <w:r w:rsidR="00766C17" w:rsidRPr="001A754F">
        <w:rPr>
          <w:vertAlign w:val="superscript"/>
        </w:rPr>
        <w:t>-2</w:t>
      </w:r>
      <w:r w:rsidR="00766C17" w:rsidRPr="001A754F">
        <w:t xml:space="preserve"> chlorophyll </w:t>
      </w:r>
      <w:r w:rsidR="00766C17" w:rsidRPr="001A754F">
        <w:rPr>
          <w:i/>
        </w:rPr>
        <w:t>a</w:t>
      </w:r>
      <w:r w:rsidR="0034494A">
        <w:t xml:space="preserve">, </w:t>
      </w:r>
      <w:r w:rsidR="00766C17" w:rsidRPr="001A754F">
        <w:t xml:space="preserve">respectively. To achieve </w:t>
      </w:r>
      <w:r w:rsidR="00812B59">
        <w:t>the chosen objective</w:t>
      </w:r>
      <w:r w:rsidR="00766C17" w:rsidRPr="001A754F">
        <w:t>,</w:t>
      </w:r>
      <w:r w:rsidR="00C35888" w:rsidRPr="00C35888">
        <w:t xml:space="preserve"> </w:t>
      </w:r>
      <w:r w:rsidR="00C35888" w:rsidRPr="001A754F">
        <w:t>periphyton</w:t>
      </w:r>
      <w:r w:rsidR="00766C17" w:rsidRPr="001A754F">
        <w:t xml:space="preserve"> biomass must be less than the threshold for 11 out of 12 monthly measurements on average </w:t>
      </w:r>
      <w:r w:rsidR="00766C17" w:rsidRPr="001A754F">
        <w:fldChar w:fldCharType="begin"/>
      </w:r>
      <w:r w:rsidR="00766C17" w:rsidRPr="001A754F">
        <w:instrText xml:space="preserve"> ADDIN ZOTERO_ITEM CSL_CITATION {"citationID":"bhbCV3U2","properties":{"formattedCitation":"(NZ Government 2020)","plainCitation":"(NZ Government 2020)","noteIndex":0},"citationItems":[{"id":3830,"uris":["http://zotero.org/groups/2329384/items/VKK5PPH3"],"itemData":{"id":3830,"type":"legislation","page":"70","title":"National Policy Statement for Freshwater Management 2020","URL":"http://www.mfe.govt.nz/publications/rma/nps-freshwater-management-2014/nps-freshwater-management-jul-14.pdf","author":[{"literal":"NZ Government"}],"issued":{"date-parts":[["2020"]]}}}],"schema":"https://github.com/citation-style-language/schema/raw/master/csl-citation.json"} </w:instrText>
      </w:r>
      <w:r w:rsidR="00766C17" w:rsidRPr="001A754F">
        <w:fldChar w:fldCharType="separate"/>
      </w:r>
      <w:r w:rsidR="00766C17" w:rsidRPr="001A754F">
        <w:t>(NZ Government 2020)</w:t>
      </w:r>
      <w:r w:rsidR="00766C17" w:rsidRPr="001A754F">
        <w:fldChar w:fldCharType="end"/>
      </w:r>
      <w:r w:rsidR="00766C17" w:rsidRPr="001A754F">
        <w:t xml:space="preserve">. </w:t>
      </w:r>
      <w:r w:rsidR="004622C8" w:rsidRPr="001A754F">
        <w:t xml:space="preserve"> </w:t>
      </w:r>
      <w:r w:rsidR="005641F4" w:rsidRPr="001A754F">
        <w:t xml:space="preserve">The NPS-FM </w:t>
      </w:r>
      <w:r w:rsidR="00C35888">
        <w:t xml:space="preserve">also </w:t>
      </w:r>
      <w:r w:rsidR="005641F4" w:rsidRPr="001A754F">
        <w:t xml:space="preserve">requires that </w:t>
      </w:r>
      <w:r w:rsidR="00A71A4E" w:rsidRPr="001A754F">
        <w:t xml:space="preserve">regional councils set nutrient concentration criteria that will ensure that periphyton objectives </w:t>
      </w:r>
      <w:r w:rsidR="00A71A4E" w:rsidRPr="001A754F">
        <w:lastRenderedPageBreak/>
        <w:t xml:space="preserve">are achieved and </w:t>
      </w:r>
      <w:r w:rsidR="0027540E" w:rsidRPr="001A754F">
        <w:t xml:space="preserve">undertake </w:t>
      </w:r>
      <w:r w:rsidR="005641F4" w:rsidRPr="001A754F">
        <w:t xml:space="preserve">management actions </w:t>
      </w:r>
      <w:r w:rsidR="00C75864" w:rsidRPr="001A754F">
        <w:t xml:space="preserve">to </w:t>
      </w:r>
      <w:r w:rsidR="005641F4" w:rsidRPr="001A754F">
        <w:t>prevent or reduc</w:t>
      </w:r>
      <w:r w:rsidR="00C75864" w:rsidRPr="001A754F">
        <w:t>e</w:t>
      </w:r>
      <w:r w:rsidR="005641F4" w:rsidRPr="001A754F">
        <w:t xml:space="preserve"> elevated </w:t>
      </w:r>
      <w:r w:rsidR="001A754F" w:rsidRPr="001A754F">
        <w:t>nutrients</w:t>
      </w:r>
      <w:r w:rsidR="005641F4" w:rsidRPr="001A754F">
        <w:t xml:space="preserve"> </w:t>
      </w:r>
      <w:r w:rsidR="0027540E" w:rsidRPr="001A754F">
        <w:t>i</w:t>
      </w:r>
      <w:r w:rsidR="001A754F" w:rsidRPr="001A754F">
        <w:t>n</w:t>
      </w:r>
      <w:r w:rsidR="0027540E" w:rsidRPr="001A754F">
        <w:t xml:space="preserve"> situations where </w:t>
      </w:r>
      <w:r w:rsidR="001A754F" w:rsidRPr="001A754F">
        <w:t>criteria are exceeded</w:t>
      </w:r>
      <w:r w:rsidR="005641F4" w:rsidRPr="001A754F">
        <w:t>.</w:t>
      </w:r>
      <w:r w:rsidR="005641F4" w:rsidRPr="00F01273">
        <w:t xml:space="preserve"> </w:t>
      </w:r>
    </w:p>
    <w:p w14:paraId="67606F20" w14:textId="66FB38DD" w:rsidR="006E360D" w:rsidRDefault="006E360D" w:rsidP="00775F4A">
      <w:pPr>
        <w:spacing w:line="480" w:lineRule="auto"/>
      </w:pPr>
      <w:r w:rsidRPr="00B96486">
        <w:t xml:space="preserve">Nitrate and ammonia are toxic at concentrations </w:t>
      </w:r>
      <w:r w:rsidR="00834E9A">
        <w:t xml:space="preserve">that are generally </w:t>
      </w:r>
      <w:r w:rsidR="00834E9A" w:rsidRPr="00B96486">
        <w:t xml:space="preserve">higher </w:t>
      </w:r>
      <w:r w:rsidRPr="00B96486">
        <w:t xml:space="preserve">than those required </w:t>
      </w:r>
      <w:r w:rsidR="00834E9A">
        <w:t>restrict</w:t>
      </w:r>
      <w:r w:rsidRPr="00B96486">
        <w:t xml:space="preserve"> periphyton </w:t>
      </w:r>
      <w:r w:rsidR="00834E9A">
        <w:t>biomass</w:t>
      </w:r>
      <w:r w:rsidRPr="00B96486">
        <w:t xml:space="preserve">. Because streams in Southland have habitat that supports periphyton, instream nitrogen must generally be managed to achieve the more restrictive periphyton attribute, rather than the toxicity attributes. Therefore, our PEC assessment </w:t>
      </w:r>
      <w:r w:rsidR="00F81A68">
        <w:t>was based on river</w:t>
      </w:r>
      <w:r w:rsidRPr="00B96486">
        <w:t xml:space="preserve"> nitrogen </w:t>
      </w:r>
      <w:r w:rsidR="00F91400">
        <w:t>concentration criteria</w:t>
      </w:r>
      <w:r w:rsidRPr="00B96486">
        <w:t xml:space="preserve"> for </w:t>
      </w:r>
      <w:r w:rsidR="004B30B1">
        <w:t>achieving nominated</w:t>
      </w:r>
      <w:r w:rsidRPr="00B96486">
        <w:t xml:space="preserve"> periphyton</w:t>
      </w:r>
      <w:r w:rsidR="004B30B1">
        <w:t xml:space="preserve"> band</w:t>
      </w:r>
      <w:r w:rsidR="00F81A68">
        <w:t>s</w:t>
      </w:r>
      <w:r w:rsidRPr="00B96486">
        <w:t xml:space="preserve">, </w:t>
      </w:r>
      <w:r w:rsidR="00A72BA8">
        <w:t xml:space="preserve">and </w:t>
      </w:r>
      <w:r w:rsidRPr="00B96486">
        <w:t xml:space="preserve">not </w:t>
      </w:r>
      <w:r w:rsidR="00D46B10">
        <w:t xml:space="preserve">to restrict </w:t>
      </w:r>
      <w:r w:rsidRPr="00B96486">
        <w:t xml:space="preserve">nitrate and </w:t>
      </w:r>
      <w:r w:rsidRPr="00B96486">
        <w:rPr>
          <w:noProof/>
        </w:rPr>
        <mc:AlternateContent>
          <mc:Choice Requires="wpi">
            <w:drawing>
              <wp:anchor distT="0" distB="0" distL="114300" distR="114300" simplePos="0" relativeHeight="251660288" behindDoc="0" locked="0" layoutInCell="1" allowOverlap="1" wp14:anchorId="48D9E0F6" wp14:editId="69980765">
                <wp:simplePos x="0" y="0"/>
                <wp:positionH relativeFrom="column">
                  <wp:posOffset>-443020</wp:posOffset>
                </wp:positionH>
                <wp:positionV relativeFrom="paragraph">
                  <wp:posOffset>2320330</wp:posOffset>
                </wp:positionV>
                <wp:extent cx="360" cy="360"/>
                <wp:effectExtent l="38100" t="19050" r="57150" b="57150"/>
                <wp:wrapNone/>
                <wp:docPr id="7" name="Ink 7"/>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797F11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35.6pt;margin-top:182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">
                <v:imagedata r:id="rId8" o:title=""/>
              </v:shape>
            </w:pict>
          </mc:Fallback>
        </mc:AlternateContent>
      </w:r>
      <w:r w:rsidRPr="00B96486">
        <w:rPr>
          <w:noProof/>
        </w:rPr>
        <mc:AlternateContent>
          <mc:Choice Requires="wpi">
            <w:drawing>
              <wp:anchor distT="0" distB="0" distL="114300" distR="114300" simplePos="0" relativeHeight="251659264" behindDoc="0" locked="0" layoutInCell="1" allowOverlap="1" wp14:anchorId="08609938" wp14:editId="7CE29F8E">
                <wp:simplePos x="0" y="0"/>
                <wp:positionH relativeFrom="column">
                  <wp:posOffset>-439780</wp:posOffset>
                </wp:positionH>
                <wp:positionV relativeFrom="paragraph">
                  <wp:posOffset>2382250</wp:posOffset>
                </wp:positionV>
                <wp:extent cx="360" cy="360"/>
                <wp:effectExtent l="38100" t="38100" r="57150" b="57150"/>
                <wp:wrapNone/>
                <wp:docPr id="5" name="Ink 5"/>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6F299511" id="Ink 5" o:spid="_x0000_s1026" type="#_x0000_t75" style="position:absolute;margin-left:-35.35pt;margin-top:186.9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">
                <v:imagedata r:id="rId8" o:title=""/>
              </v:shape>
            </w:pict>
          </mc:Fallback>
        </mc:AlternateContent>
      </w:r>
      <w:r w:rsidRPr="00B96486">
        <w:t xml:space="preserve">ammonium toxicity. The nitrogen </w:t>
      </w:r>
      <w:r w:rsidR="00D46B10">
        <w:t>concentration criteria</w:t>
      </w:r>
      <w:r w:rsidR="00D46B10" w:rsidRPr="00B96486">
        <w:t xml:space="preserve"> </w:t>
      </w:r>
      <w:r w:rsidRPr="00B96486">
        <w:t>we used were specific to the NOF</w:t>
      </w:r>
      <w:r w:rsidR="00D46B10">
        <w:t xml:space="preserve"> A, B and C</w:t>
      </w:r>
      <w:r w:rsidRPr="00B96486">
        <w:t xml:space="preserve"> bands</w:t>
      </w:r>
      <w:r w:rsidR="00D46B10">
        <w:t xml:space="preserve"> for</w:t>
      </w:r>
      <w:r w:rsidRPr="00B96486">
        <w:t xml:space="preserve"> </w:t>
      </w:r>
      <w:r w:rsidR="00D46B10" w:rsidRPr="00B96486">
        <w:t xml:space="preserve">periphyton </w:t>
      </w:r>
      <w:r w:rsidRPr="00B96486">
        <w:t>and are based on total nitrogen (TN).</w:t>
      </w:r>
    </w:p>
    <w:p w14:paraId="21EB7D4D" w14:textId="21784183" w:rsidR="009D07AD" w:rsidRDefault="001F6726" w:rsidP="00804CB6">
      <w:pPr>
        <w:spacing w:line="480" w:lineRule="auto"/>
      </w:pPr>
      <w:r w:rsidRPr="00804CB6">
        <w:fldChar w:fldCharType="begin"/>
      </w:r>
      <w:r w:rsidRPr="00804CB6">
        <w:instrText xml:space="preserve"> ADDIN ZOTERO_ITEM CSL_CITATION {"citationID":"b7wRDWJV","properties":{"formattedCitation":"(Snelder et al. 2019)","plainCitation":"(Snelder et al. 2019)","dontUpdate":true,"noteIndex":0},"citationItems":[{"id":3608,"uris":["http://zotero.org/groups/2329384/items/SP3LJK3U"],"itemData":{"id":3608,"type":"article-journal","container-title":"JAWRA Journal of the American Water Resources Association","issue":"6","page":"1443–1463","source":"Google Scholar","title":"Nutrient Concentration Targets to Achieve Periphyton Biomass Objectives Incorporating Uncertainties","volume":"55","author":[{"family":"Snelder","given":"T. H."},{"family":"Moore","given":"C."},{"family":"Kilroy","given":"C."}],"issued":{"date-parts":[["2019"]]}}}],"schema":"https://github.com/citation-style-language/schema/raw/master/csl-citation.json"} </w:instrText>
      </w:r>
      <w:r w:rsidRPr="00804CB6">
        <w:fldChar w:fldCharType="separate"/>
      </w:r>
      <w:r w:rsidRPr="00804CB6">
        <w:t>Snelder et al. (2019)</w:t>
      </w:r>
      <w:r w:rsidRPr="00804CB6">
        <w:fldChar w:fldCharType="end"/>
      </w:r>
      <w:r w:rsidRPr="00804CB6">
        <w:t xml:space="preserve"> derived </w:t>
      </w:r>
      <w:r w:rsidR="00764E67" w:rsidRPr="00804CB6">
        <w:t>total nitrogen (</w:t>
      </w:r>
      <w:r w:rsidRPr="00804CB6">
        <w:t>TN</w:t>
      </w:r>
      <w:r w:rsidR="00764E67" w:rsidRPr="00804CB6">
        <w:t>)</w:t>
      </w:r>
      <w:r w:rsidRPr="00804CB6">
        <w:t xml:space="preserve"> </w:t>
      </w:r>
      <w:r w:rsidR="00764E67" w:rsidRPr="00804CB6">
        <w:t>concentration criteria</w:t>
      </w:r>
      <w:r w:rsidRPr="00804CB6">
        <w:t xml:space="preserve"> that </w:t>
      </w:r>
      <w:r w:rsidR="00764E67" w:rsidRPr="00804CB6">
        <w:t>achieve</w:t>
      </w:r>
      <w:r w:rsidRPr="00804CB6">
        <w:t xml:space="preserve"> periphyton biomass </w:t>
      </w:r>
      <w:r w:rsidR="00764E67" w:rsidRPr="00804CB6">
        <w:t xml:space="preserve">objectives defined by </w:t>
      </w:r>
      <w:r w:rsidRPr="00804CB6">
        <w:t xml:space="preserve">the three attribute bands (A, B and C). These </w:t>
      </w:r>
      <w:r w:rsidR="00764E67" w:rsidRPr="00804CB6">
        <w:t xml:space="preserve">criteria </w:t>
      </w:r>
      <w:r w:rsidR="00AA3C47">
        <w:t xml:space="preserve">are defined by median TN concentrations and </w:t>
      </w:r>
      <w:r w:rsidRPr="00804CB6">
        <w:t xml:space="preserve">were derived using a regression model fitted to a dataset comprising 20 years of monthly measurements of periphyton biomass and environmental predictor variables at 78 monitoring sites across New Zealand. The environmental predictor variables account for broad-scale variation in </w:t>
      </w:r>
      <w:r w:rsidR="00BE4EF7">
        <w:t xml:space="preserve">physical conditions </w:t>
      </w:r>
      <w:r w:rsidRPr="00804CB6">
        <w:t xml:space="preserve">that influence </w:t>
      </w:r>
      <w:r w:rsidR="00E55E50">
        <w:t>the</w:t>
      </w:r>
      <w:r w:rsidR="00D46A41">
        <w:t xml:space="preserve"> </w:t>
      </w:r>
      <w:r w:rsidRPr="00804CB6">
        <w:t>biomass</w:t>
      </w:r>
      <w:r w:rsidR="00D46A41">
        <w:t xml:space="preserve"> </w:t>
      </w:r>
      <w:r w:rsidR="00697036">
        <w:t>other than nutrient concentrations</w:t>
      </w:r>
      <w:r w:rsidRPr="00804CB6">
        <w:t xml:space="preserve"> (e.g., temperature, </w:t>
      </w:r>
      <w:r w:rsidR="00680077">
        <w:t xml:space="preserve">light regimes and </w:t>
      </w:r>
      <w:r w:rsidRPr="00804CB6">
        <w:t xml:space="preserve">frequency of </w:t>
      </w:r>
      <w:r w:rsidR="00BF0EF2">
        <w:t xml:space="preserve">high </w:t>
      </w:r>
      <w:r w:rsidRPr="00804CB6">
        <w:t>flows</w:t>
      </w:r>
      <w:r w:rsidR="00BF0EF2">
        <w:t xml:space="preserve"> that remove periphyton from the </w:t>
      </w:r>
      <w:r w:rsidR="00C01120">
        <w:t>riverbed</w:t>
      </w:r>
      <w:r w:rsidRPr="00804CB6">
        <w:t xml:space="preserve">). </w:t>
      </w:r>
    </w:p>
    <w:p w14:paraId="1C8F3729" w14:textId="7ACAC33D" w:rsidR="00804CB6" w:rsidRDefault="001F6726" w:rsidP="00804CB6">
      <w:pPr>
        <w:spacing w:line="480" w:lineRule="auto"/>
      </w:pPr>
      <w:r w:rsidRPr="00804CB6">
        <w:t xml:space="preserve">Separate TN </w:t>
      </w:r>
      <w:r w:rsidR="00AA3C47" w:rsidRPr="00804CB6">
        <w:t xml:space="preserve">concentration criteria </w:t>
      </w:r>
      <w:r w:rsidRPr="00804CB6">
        <w:t xml:space="preserve">were derived for each of 21 </w:t>
      </w:r>
      <w:r w:rsidR="009D07AD">
        <w:t xml:space="preserve">river </w:t>
      </w:r>
      <w:r w:rsidRPr="00804CB6">
        <w:t xml:space="preserve">classes </w:t>
      </w:r>
      <w:r w:rsidR="009D07AD">
        <w:t xml:space="preserve">defined by </w:t>
      </w:r>
      <w:r w:rsidRPr="00804CB6">
        <w:t xml:space="preserve">the second level of the </w:t>
      </w:r>
      <w:r w:rsidR="00EF5765" w:rsidRPr="009D07AD">
        <w:t>New Zealand River Environment Classification (REC;</w:t>
      </w:r>
      <w:r w:rsidR="0048553D">
        <w:t xml:space="preserve"> </w:t>
      </w:r>
      <w:r w:rsidR="0048553D">
        <w:fldChar w:fldCharType="begin"/>
      </w:r>
      <w:r w:rsidR="00C1714C">
        <w:instrText xml:space="preserve"> ADDIN ZOTERO_ITEM CSL_CITATION {"citationID":"wbPDcMMO","properties":{"formattedCitation":"(Snelder and Biggs 2002)","plainCitation":"(Snelder and Biggs 2002)","dontUpdate":true,"noteIndex":0},"citationItems":[{"id":2118,"uris":["http://zotero.org/groups/2329384/items/GE7J2KMX"],"itemData":{"id":2118,"type":"article-journal","container-title":"Journal of the American Water Resources Association","issue":"5","page":"1225-1240","title":"Multi-scale river environment classification for water resources management","volume":"38","author":[{"family":"Snelder","given":"T.H."},{"family":"Biggs","given":"B.J.F."}],"issued":{"date-parts":[["2002"]]}}}],"schema":"https://github.com/citation-style-language/schema/raw/master/csl-citation.json"} </w:instrText>
      </w:r>
      <w:r w:rsidR="0048553D">
        <w:fldChar w:fldCharType="separate"/>
      </w:r>
      <w:r w:rsidR="0048553D" w:rsidRPr="0048553D">
        <w:rPr>
          <w:rFonts w:cs="Times New Roman"/>
        </w:rPr>
        <w:t>Snelder and Biggs 2002)</w:t>
      </w:r>
      <w:r w:rsidR="0048553D">
        <w:fldChar w:fldCharType="end"/>
      </w:r>
      <w:r w:rsidRPr="00804CB6">
        <w:t xml:space="preserve">. </w:t>
      </w:r>
      <w:r w:rsidR="009D07AD" w:rsidRPr="009D07AD">
        <w:t xml:space="preserve">REC classes </w:t>
      </w:r>
      <w:r w:rsidR="00E52D49">
        <w:t xml:space="preserve">at the </w:t>
      </w:r>
      <w:r w:rsidR="00E52D49" w:rsidRPr="00804CB6">
        <w:t xml:space="preserve">second level of the </w:t>
      </w:r>
      <w:r w:rsidR="00E52D49">
        <w:t xml:space="preserve">REC </w:t>
      </w:r>
      <w:r w:rsidR="001D2CDE">
        <w:t xml:space="preserve">broadly </w:t>
      </w:r>
      <w:r w:rsidR="0069769A">
        <w:t>distinguish between</w:t>
      </w:r>
      <w:r w:rsidR="001D2CDE">
        <w:t xml:space="preserve"> </w:t>
      </w:r>
      <w:r w:rsidR="00E52D49">
        <w:t xml:space="preserve">rivers </w:t>
      </w:r>
      <w:r w:rsidR="009D07AD" w:rsidRPr="009D07AD">
        <w:t>based on climate</w:t>
      </w:r>
      <w:r w:rsidR="001D2CDE">
        <w:t xml:space="preserve"> and</w:t>
      </w:r>
      <w:r w:rsidR="009D07AD" w:rsidRPr="009D07AD">
        <w:t xml:space="preserve"> topography</w:t>
      </w:r>
      <w:r w:rsidR="0069769A">
        <w:t xml:space="preserve"> and classes</w:t>
      </w:r>
      <w:r w:rsidR="001D2CDE">
        <w:t xml:space="preserve"> </w:t>
      </w:r>
      <w:r w:rsidR="0008400F">
        <w:t xml:space="preserve">and these </w:t>
      </w:r>
      <w:r w:rsidR="001D2CDE">
        <w:t>discriminate</w:t>
      </w:r>
      <w:r w:rsidR="0069769A">
        <w:t xml:space="preserve"> </w:t>
      </w:r>
      <w:r w:rsidR="00680077">
        <w:t xml:space="preserve">variation in </w:t>
      </w:r>
      <w:r w:rsidR="009A1402" w:rsidRPr="00804CB6">
        <w:t xml:space="preserve">factors that influence </w:t>
      </w:r>
      <w:r w:rsidR="009A1402">
        <w:t xml:space="preserve">the </w:t>
      </w:r>
      <w:r w:rsidR="009A1402" w:rsidRPr="00804CB6">
        <w:t>biomass</w:t>
      </w:r>
      <w:r w:rsidR="009A1402">
        <w:t xml:space="preserve"> response to nutrient supply</w:t>
      </w:r>
      <w:r w:rsidR="009A1402" w:rsidRPr="00804CB6">
        <w:t xml:space="preserve"> </w:t>
      </w:r>
      <w:r w:rsidR="009A1402">
        <w:t>other than nutrient concentrations</w:t>
      </w:r>
      <w:r w:rsidR="009D07AD" w:rsidRPr="009D07AD">
        <w:t>.</w:t>
      </w:r>
      <w:r w:rsidR="009A1402">
        <w:t xml:space="preserve"> The </w:t>
      </w:r>
      <w:r w:rsidR="00D331F2">
        <w:t xml:space="preserve">concentration </w:t>
      </w:r>
      <w:r w:rsidR="00226167">
        <w:t xml:space="preserve">criteria for each REC class are therefore specific to the </w:t>
      </w:r>
      <w:r w:rsidR="00BE4EF7">
        <w:t xml:space="preserve">physical conditions </w:t>
      </w:r>
      <w:r w:rsidR="007F39AD">
        <w:t xml:space="preserve">that </w:t>
      </w:r>
      <w:r w:rsidR="007F39AD">
        <w:lastRenderedPageBreak/>
        <w:t xml:space="preserve">can be expected to influence periphyton biomass. </w:t>
      </w:r>
      <w:r w:rsidRPr="00804CB6">
        <w:t xml:space="preserve">The TN </w:t>
      </w:r>
      <w:r w:rsidR="007F39AD">
        <w:t>concentration criteria</w:t>
      </w:r>
      <w:r w:rsidRPr="00804CB6">
        <w:t xml:space="preserve"> corresponding to each NOF band was obtained for each river receiving environment based on its REC class.</w:t>
      </w:r>
      <w:r w:rsidR="00A34AC5">
        <w:t xml:space="preserve"> REC class assignments were obtained from </w:t>
      </w:r>
      <w:r w:rsidR="00F245A7">
        <w:t xml:space="preserve">data that is associated with the digital river network. </w:t>
      </w:r>
    </w:p>
    <w:p w14:paraId="73152C7A" w14:textId="682BEED2" w:rsidR="006E241C" w:rsidRPr="00F01273" w:rsidRDefault="005D2896" w:rsidP="005D2896">
      <w:pPr>
        <w:pStyle w:val="Heading1"/>
      </w:pPr>
      <w:r>
        <w:t>Nutrient criteria for e</w:t>
      </w:r>
      <w:r w:rsidR="006E241C">
        <w:t>stuaries</w:t>
      </w:r>
    </w:p>
    <w:p w14:paraId="3ED1E655" w14:textId="4A001899" w:rsidR="006E360D" w:rsidRPr="006E241C" w:rsidRDefault="006E360D" w:rsidP="006E360D">
      <w:pPr>
        <w:spacing w:line="480" w:lineRule="auto"/>
      </w:pPr>
      <w:r w:rsidRPr="006E241C">
        <w:t xml:space="preserve">Environmental objectives for estuaries and other coastal environments are mandated by the New Zealand Coastal Policy Statement (NZCPS; </w:t>
      </w:r>
      <w:r w:rsidRPr="006E241C">
        <w:fldChar w:fldCharType="begin"/>
      </w:r>
      <w:r w:rsidR="007361E7" w:rsidRPr="006E241C">
        <w:instrText xml:space="preserve"> ADDIN ZOTERO_ITEM CSL_CITATION {"citationID":"M6gqOEuV","properties":{"formattedCitation":"(NZ Government 2010)","plainCitation":"(NZ Government 2010)","dontUpdate":true,"noteIndex":0},"citationItems":[{"id":4108,"uris":["http://zotero.org/groups/2329384/items/BBMXXKXC"],"itemData":{"id":4108,"type":"legislation","title":"New Zealand Coastal Policy Statement.","author":[{"family":"NZ Government","given":""}],"issued":{"date-parts":[["2010"]]}}}],"schema":"https://github.com/citation-style-language/schema/raw/master/csl-citation.json"} </w:instrText>
      </w:r>
      <w:r w:rsidRPr="006E241C">
        <w:fldChar w:fldCharType="separate"/>
      </w:r>
      <w:r w:rsidRPr="006E241C">
        <w:t>NZ Government 2010)</w:t>
      </w:r>
      <w:r w:rsidRPr="006E241C">
        <w:fldChar w:fldCharType="end"/>
      </w:r>
      <w:r w:rsidRPr="006E241C">
        <w:t>. The NZCPS does not have the structured approach</w:t>
      </w:r>
      <w:r w:rsidR="000815D4">
        <w:t xml:space="preserve"> based on attributes </w:t>
      </w:r>
      <w:r w:rsidR="003A1AC8">
        <w:t>for</w:t>
      </w:r>
      <w:r w:rsidRPr="006E241C">
        <w:t xml:space="preserve"> defining water quality </w:t>
      </w:r>
      <w:r w:rsidR="00182C6E" w:rsidRPr="006E241C">
        <w:t>objectives</w:t>
      </w:r>
      <w:r w:rsidRPr="006E241C">
        <w:t xml:space="preserve"> of the NPS-FM. However, the NZCPS does require regional councils to seek to preserve the natural character of the coastal environment including its ecosystems and biodiversity, which requires the management of discharges to, and concentration of contaminants in, the coastal water bodies. </w:t>
      </w:r>
    </w:p>
    <w:p w14:paraId="157E1489" w14:textId="02F1E5F5" w:rsidR="006E360D" w:rsidRPr="00284B82" w:rsidRDefault="006E360D" w:rsidP="006E360D">
      <w:pPr>
        <w:spacing w:line="480" w:lineRule="auto"/>
      </w:pPr>
      <w:r w:rsidRPr="00284B82">
        <w:t xml:space="preserve">A large proportion of Southland estuaries in agriculture-dominated catchments are shallow and have extensive intertidal areas. When enriched with nutrients (particularly nitrogen) from the upstream catchment, these estuaries are susceptible to eutrophication </w:t>
      </w:r>
      <w:r w:rsidRPr="00284B82">
        <w:fldChar w:fldCharType="begin"/>
      </w:r>
      <w:r w:rsidR="007361E7" w:rsidRPr="00284B82">
        <w:instrText xml:space="preserve"> ADDIN ZOTERO_ITEM CSL_CITATION {"citationID":"NuihXBra","properties":{"formattedCitation":"(Valiela et al. 1997; Viaroli et al. 2008)","plainCitation":"(Valiela et al. 1997; Viaroli et al. 2008)","noteIndex":0},"citationItems":[{"id":4383,"uris":["http://zotero.org/groups/2329384/items/7L4997FL"],"itemData":{"id":4383,"type":"article-journal","container-title":"Limnology and oceanography","issue":"5part2","note":"publisher: Wiley Online Library","page":"1105–1118","source":"Google Scholar","title":"Macroalgal blooms in shallow estuaries: controls and ecophysiological and ecosystem consequences","title-short":"Macroalgal blooms in shallow estuaries","volume":"42","author":[{"family":"Valiela","given":"Ivan"},{"family":"McClelland","given":"James"},{"family":"Hauxwell","given":"Jennifer"},{"family":"Behr","given":"Peter J."},{"family":"Hersh","given":"Douglas"},{"family":"Foreman","given":"Kenneth"}],"issued":{"date-parts":[["1997"]]}}},{"id":3718,"uris":["http://zotero.org/groups/2329384/items/GCY2PSUX"],"itemData":{"id":3718,"type":"article-journal","container-title":"Aquatic Conservation: Marine and Freshwater Ecosystems","issue":"S1","note":"publisher: Wiley Online Library","page":"S105–S117","source":"Google Scholar","title":"Community shifts, alternative stable states, biogeochemical controls and feedbacks in eutrophic coastal lagoons: a brief overview","title-short":"Community shifts, alternative stable states, biogeochemical controls and feedbacks in eutrophic coastal lagoons","volume":"18","author":[{"family":"Viaroli","given":"Pierluigi"},{"family":"Bartoli","given":"Marco"},{"family":"Giordani","given":"Gianmarco"},{"family":"Naldi","given":"Mariachiara"},{"family":"Orfanidis","given":"Sotiris"},{"family":"Zaldivar","given":"José Manuel"}],"issued":{"date-parts":[["2008"]]}}}],"schema":"https://github.com/citation-style-language/schema/raw/master/csl-citation.json"} </w:instrText>
      </w:r>
      <w:r w:rsidRPr="00284B82">
        <w:fldChar w:fldCharType="separate"/>
      </w:r>
      <w:r w:rsidRPr="00284B82">
        <w:t>(Valiela et al. 1997; Viaroli et al. 2008)</w:t>
      </w:r>
      <w:r w:rsidRPr="00284B82">
        <w:fldChar w:fldCharType="end"/>
      </w:r>
      <w:r w:rsidRPr="00284B82">
        <w:t xml:space="preserve">. Symptoms of eutrophication in shallow estuaries include proliferations of benthic macroalgae, reduced oxygen levels, and </w:t>
      </w:r>
      <w:r w:rsidR="00DF534F" w:rsidRPr="00284B82">
        <w:t>sulfide</w:t>
      </w:r>
      <w:r w:rsidRPr="00284B82">
        <w:t xml:space="preserve"> production due to organic matter breakdown </w:t>
      </w:r>
      <w:r w:rsidRPr="00284B82">
        <w:fldChar w:fldCharType="begin"/>
      </w:r>
      <w:r w:rsidR="007361E7" w:rsidRPr="00284B82">
        <w:instrText xml:space="preserve"> ADDIN ZOTERO_ITEM CSL_CITATION {"citationID":"KLWBpzt0","properties":{"formattedCitation":"(Plew et al. 2020)","plainCitation":"(Plew et al. 2020)","noteIndex":0},"citationItems":[{"id":3743,"uris":["http://zotero.org/groups/2329384/items/2R37HRNL"],"itemData":{"id":3743,"type":"article-journal","container-title":"Estuaries and Coasts","DOI":"10.1007/s12237-020-00729-w","note":"publisher: Springer","page":"2015-2033","source":"Google Scholar","title":"Assessing the Eutrophic Susceptibility of New Zealand Estuaries","volume":"43","author":[{"family":"Plew","given":"David R."},{"family":"Zeldis","given":"John R."},{"family":"Dudley","given":"Bruce D."},{"family":"Whitehead","given":"Amy L."},{"family":"Stevens","given":"Leigh M."},{"family":"Robertson","given":"Barry M."},{"family":"Robertson","given":"Ben P."}],"issued":{"date-parts":[["2020"]]}}}],"schema":"https://github.com/citation-style-language/schema/raw/master/csl-citation.json"} </w:instrText>
      </w:r>
      <w:r w:rsidRPr="00284B82">
        <w:fldChar w:fldCharType="separate"/>
      </w:r>
      <w:r w:rsidRPr="00284B82">
        <w:t>(Plew et al. 2020)</w:t>
      </w:r>
      <w:r w:rsidRPr="00284B82">
        <w:fldChar w:fldCharType="end"/>
      </w:r>
      <w:r w:rsidRPr="00284B82">
        <w:t xml:space="preserve">. The remaining Southland estuaries are deeper and predominantly subtidal. In deep estuaries, phytoplankton proliferations are symptomatic of eutrophication, rather than macroalgae. Most of the deep estuaries in Southland have catchments with little or no potential for pastoral land use and are therefore at low risk of eutrophication. </w:t>
      </w:r>
    </w:p>
    <w:p w14:paraId="20E69474" w14:textId="6B750F8B" w:rsidR="006E360D" w:rsidRPr="00F01273" w:rsidRDefault="006E360D" w:rsidP="006E360D">
      <w:pPr>
        <w:spacing w:line="480" w:lineRule="auto"/>
      </w:pPr>
      <w:r w:rsidRPr="00EC39F3">
        <w:t>We used the New</w:t>
      </w:r>
      <w:r w:rsidRPr="004A7815">
        <w:t xml:space="preserve"> Zealand Estuary Trophic Index (ETI, </w:t>
      </w:r>
      <w:r w:rsidRPr="004A7815">
        <w:fldChar w:fldCharType="begin"/>
      </w:r>
      <w:r w:rsidR="007361E7">
        <w:instrText xml:space="preserve"> ADDIN ZOTERO_ITEM CSL_CITATION {"citationID":"HFwpvjE7","properties":{"formattedCitation":"(Plew et al. 2020)","plainCitation":"(Plew et al. 2020)","dontUpdate":true,"noteIndex":0},"citationItems":[{"id":3743,"uris":["http://zotero.org/groups/2329384/items/2R37HRNL"],"itemData":{"id":3743,"type":"article-journal","container-title":"Estuaries and Coasts","DOI":"10.1007/s12237-020-00729-w","note":"publisher: Springer","page":"2015-2033","source":"Google Scholar","title":"Assessing the Eutrophic Susceptibility of New Zealand Estuaries","volume":"43","author":[{"family":"Plew","given":"David R."},{"family":"Zeldis","given":"John R."},{"family":"Dudley","given":"Bruce D."},{"family":"Whitehead","given":"Amy L."},{"family":"Stevens","given":"Leigh M."},{"family":"Robertson","given":"Barry M."},{"family":"Robertson","given":"Ben P."}],"issued":{"date-parts":[["2020"]]}}}],"schema":"https://github.com/citation-style-language/schema/raw/master/csl-citation.json"} </w:instrText>
      </w:r>
      <w:r w:rsidRPr="004A7815">
        <w:fldChar w:fldCharType="separate"/>
      </w:r>
      <w:r w:rsidRPr="004A7815">
        <w:t>Plew et al. 2020)</w:t>
      </w:r>
      <w:r w:rsidRPr="004A7815">
        <w:fldChar w:fldCharType="end"/>
      </w:r>
      <w:r w:rsidRPr="004A7815">
        <w:t xml:space="preserve"> to define TN targets for the Southland estuaries. The ETI quantifies the susceptibility of estuaries to </w:t>
      </w:r>
      <w:r w:rsidRPr="004A7815">
        <w:lastRenderedPageBreak/>
        <w:t xml:space="preserve">eutrophication, based on their morphological characteristics and </w:t>
      </w:r>
      <w:r w:rsidRPr="007776C7">
        <w:t xml:space="preserve">catchment TN load. </w:t>
      </w:r>
      <w:r w:rsidR="00612B68" w:rsidRPr="007776C7">
        <w:t xml:space="preserve">The method </w:t>
      </w:r>
      <w:r w:rsidR="00612B68" w:rsidRPr="000C509E">
        <w:t xml:space="preserve">predicts the potential in-estuary TN concentration by combining </w:t>
      </w:r>
      <w:r w:rsidR="00281531">
        <w:t>the</w:t>
      </w:r>
      <w:r w:rsidR="00612B68" w:rsidRPr="000C509E">
        <w:t xml:space="preserve"> catchment</w:t>
      </w:r>
      <w:r w:rsidR="00281531">
        <w:t xml:space="preserve"> and</w:t>
      </w:r>
      <w:r w:rsidR="00612B68" w:rsidRPr="000C509E">
        <w:t xml:space="preserve"> </w:t>
      </w:r>
      <w:r w:rsidR="00281531" w:rsidRPr="000C509E">
        <w:rPr>
          <w:color w:val="000000" w:themeColor="text1"/>
        </w:rPr>
        <w:t xml:space="preserve">oceanic </w:t>
      </w:r>
      <w:r w:rsidR="00612B68" w:rsidRPr="000C509E">
        <w:t>contribution</w:t>
      </w:r>
      <w:r w:rsidR="009068CC">
        <w:t>s</w:t>
      </w:r>
      <w:r w:rsidR="00612B68" w:rsidRPr="000C509E">
        <w:rPr>
          <w:color w:val="000000" w:themeColor="text1"/>
        </w:rPr>
        <w:t xml:space="preserve"> of TN (as annual </w:t>
      </w:r>
      <w:r w:rsidR="00D54D82">
        <w:rPr>
          <w:color w:val="000000" w:themeColor="text1"/>
        </w:rPr>
        <w:t xml:space="preserve">catchment </w:t>
      </w:r>
      <w:r w:rsidR="00612B68" w:rsidRPr="000C509E">
        <w:rPr>
          <w:color w:val="000000" w:themeColor="text1"/>
        </w:rPr>
        <w:t>load</w:t>
      </w:r>
      <w:r w:rsidR="00281531">
        <w:rPr>
          <w:color w:val="000000" w:themeColor="text1"/>
        </w:rPr>
        <w:t>s</w:t>
      </w:r>
      <w:r w:rsidR="00D54D82">
        <w:rPr>
          <w:color w:val="000000" w:themeColor="text1"/>
        </w:rPr>
        <w:t xml:space="preserve"> and mean annual ocean nutrient concentration</w:t>
      </w:r>
      <w:r w:rsidR="00612B68" w:rsidRPr="000C509E">
        <w:rPr>
          <w:color w:val="000000" w:themeColor="text1"/>
        </w:rPr>
        <w:t>) with</w:t>
      </w:r>
      <w:r w:rsidR="00281531">
        <w:rPr>
          <w:color w:val="000000" w:themeColor="text1"/>
        </w:rPr>
        <w:t>in</w:t>
      </w:r>
      <w:r w:rsidR="00612B68" w:rsidRPr="000C509E">
        <w:rPr>
          <w:color w:val="000000" w:themeColor="text1"/>
        </w:rPr>
        <w:t xml:space="preserve"> an estuary dilution model that incorporates data describing estuary volume, tidal prism and freshwater</w:t>
      </w:r>
      <w:r w:rsidR="009068CC">
        <w:rPr>
          <w:color w:val="000000" w:themeColor="text1"/>
        </w:rPr>
        <w:t xml:space="preserve"> and oceanic inflows</w:t>
      </w:r>
      <w:r w:rsidR="00612B68" w:rsidRPr="000C509E">
        <w:rPr>
          <w:color w:val="000000" w:themeColor="text1"/>
        </w:rPr>
        <w:t xml:space="preserve"> </w:t>
      </w:r>
      <w:r w:rsidR="00612B68" w:rsidRPr="000C509E">
        <w:fldChar w:fldCharType="begin"/>
      </w:r>
      <w:r w:rsidR="00612B68" w:rsidRPr="000C509E">
        <w:instrText xml:space="preserve"> ADDIN ZOTERO_ITEM CSL_CITATION {"citationID":"0YmrvKAF","properties":{"formattedCitation":"(Plew et al. 2018)","plainCitation":"(Plew et al. 2018)","noteIndex":0},"citationItems":[{"id":3627,"uris":["http://zotero.org/groups/2329384/items/22VZF49I"],"itemData":{"id":3627,"type":"article-journal","container-title":"Estuaries and coasts","issue":"6","page":"1643–1659","source":"Google Scholar","title":"Using simple dilution models to predict New Zealand estuarine water quality","volume":"41","author":[{"family":"Plew","given":"David R."},{"family":"Zeldis","given":"John R."},{"family":"Shankar","given":"Ude"},{"family":"Elliott","given":"Alexander H."}],"issued":{"date-parts":[["2018"]]}}}],"schema":"https://github.com/citation-style-language/schema/raw/master/csl-citation.json"} </w:instrText>
      </w:r>
      <w:r w:rsidR="00612B68" w:rsidRPr="000C509E">
        <w:fldChar w:fldCharType="separate"/>
      </w:r>
      <w:r w:rsidR="00612B68" w:rsidRPr="000C509E">
        <w:t>(Plew et al. 2018)</w:t>
      </w:r>
      <w:r w:rsidR="00612B68" w:rsidRPr="000C509E">
        <w:fldChar w:fldCharType="end"/>
      </w:r>
      <w:r w:rsidR="00612B68" w:rsidRPr="000C509E">
        <w:t>. For</w:t>
      </w:r>
      <w:r w:rsidR="00612B68" w:rsidRPr="000C509E">
        <w:rPr>
          <w:color w:val="000000" w:themeColor="text1"/>
        </w:rPr>
        <w:t xml:space="preserve"> each estuary in the region, the dilution model was used to predict the potential TN concentration corresponding to a range of catchment TN loads. </w:t>
      </w:r>
      <w:r w:rsidRPr="000C509E">
        <w:t xml:space="preserve">The </w:t>
      </w:r>
      <w:r w:rsidR="007731A5" w:rsidRPr="000C509E">
        <w:t>concentrations</w:t>
      </w:r>
      <w:r w:rsidR="007731A5">
        <w:t xml:space="preserve"> are </w:t>
      </w:r>
      <w:r w:rsidR="00EC12E1">
        <w:t xml:space="preserve">used to </w:t>
      </w:r>
      <w:r w:rsidRPr="004A7815">
        <w:t xml:space="preserve">define eutrophication susceptibility </w:t>
      </w:r>
      <w:r w:rsidR="001D401B">
        <w:t xml:space="preserve">as </w:t>
      </w:r>
      <w:r w:rsidR="003C2494">
        <w:t>macro</w:t>
      </w:r>
      <w:r w:rsidR="001D401B">
        <w:t>algal</w:t>
      </w:r>
      <w:r w:rsidR="003C2494">
        <w:t xml:space="preserve"> and phytoplankton</w:t>
      </w:r>
      <w:r w:rsidR="001D401B">
        <w:t xml:space="preserve"> response </w:t>
      </w:r>
      <w:r w:rsidRPr="004A7815">
        <w:t>bands</w:t>
      </w:r>
      <w:r w:rsidR="003C2494">
        <w:t xml:space="preserve"> (Plew et al. </w:t>
      </w:r>
      <w:proofErr w:type="gramStart"/>
      <w:r w:rsidR="003C2494">
        <w:t>2020)</w:t>
      </w:r>
      <w:r w:rsidRPr="004A7815">
        <w:t>that</w:t>
      </w:r>
      <w:proofErr w:type="gramEnd"/>
      <w:r w:rsidRPr="004A7815">
        <w:t xml:space="preserve"> are analogous to the NOF river periphyton bands </w:t>
      </w:r>
      <w:r w:rsidR="001D401B">
        <w:t>(i.e.,</w:t>
      </w:r>
      <w:r w:rsidRPr="004A7815">
        <w:t xml:space="preserve"> A band indicating very low susceptibility and the D band indicating high susceptibility</w:t>
      </w:r>
      <w:r w:rsidR="000C509E">
        <w:t>)</w:t>
      </w:r>
      <w:r w:rsidRPr="004A7815">
        <w:t>. For estuaries that have an intertidal area greater that 40%, ETI susceptibility bands are based on macroalgal biomass. For estuaries with intertidal areas less than 5%, ETI susceptibility bands are based on phytoplankton biomass. If the intertidal area is between 5% and 40%, ETI susceptibility bands are defined based on both macroalgal and phytoplankton biomass.</w:t>
      </w:r>
      <w:r>
        <w:t xml:space="preserve"> </w:t>
      </w:r>
      <w:r w:rsidR="003C2494">
        <w:t>Maximum acceptable loads for estuaries were defined as the loads corresponding to the threshold between the C and D bands for either macroalgal or phytoplankton response, depending on intertidal area.</w:t>
      </w:r>
    </w:p>
    <w:p w14:paraId="6D4D3EFC" w14:textId="14175BF2" w:rsidR="00B826E9" w:rsidRDefault="00B826E9" w:rsidP="00B826E9">
      <w:pPr>
        <w:pStyle w:val="Heading1"/>
      </w:pPr>
      <w:r>
        <w:t>Conversion of river concentration</w:t>
      </w:r>
      <w:r w:rsidR="005A0EFA">
        <w:t xml:space="preserve"> criteria</w:t>
      </w:r>
      <w:r>
        <w:t xml:space="preserve"> to </w:t>
      </w:r>
      <w:r w:rsidR="005A0EFA">
        <w:t xml:space="preserve">maximum allowable </w:t>
      </w:r>
      <w:r>
        <w:t>loads</w:t>
      </w:r>
    </w:p>
    <w:p w14:paraId="00C07FD9" w14:textId="2B4A9D86" w:rsidR="00DD2FE8" w:rsidRPr="00F01273" w:rsidRDefault="00644AAE" w:rsidP="00DD2FE8">
      <w:pPr>
        <w:spacing w:line="480" w:lineRule="auto"/>
      </w:pPr>
      <w:r>
        <w:t xml:space="preserve">River TN concentration criteria </w:t>
      </w:r>
      <w:r w:rsidRPr="004B35A0">
        <w:t xml:space="preserve">were converted to equivalent </w:t>
      </w:r>
      <w:r w:rsidR="00AD772F" w:rsidRPr="004B35A0">
        <w:t>maximum acceptable loads (MAL; kg TN year</w:t>
      </w:r>
      <w:r w:rsidR="00AD772F" w:rsidRPr="004B35A0">
        <w:rPr>
          <w:vertAlign w:val="superscript"/>
        </w:rPr>
        <w:t>-1</w:t>
      </w:r>
      <w:r w:rsidR="00AD772F" w:rsidRPr="004B35A0">
        <w:t xml:space="preserve">) </w:t>
      </w:r>
      <w:r w:rsidR="00B826E9" w:rsidRPr="004B35A0">
        <w:t>using the method</w:t>
      </w:r>
      <w:r w:rsidR="00B826E9">
        <w:t xml:space="preserve"> of</w:t>
      </w:r>
      <w:r w:rsidR="00B826E9" w:rsidRPr="005B4A02">
        <w:t xml:space="preserve"> </w:t>
      </w:r>
      <w:r w:rsidR="00B826E9" w:rsidRPr="005B4A02">
        <w:fldChar w:fldCharType="begin"/>
      </w:r>
      <w:r w:rsidR="00C1714C">
        <w:instrText xml:space="preserve"> ADDIN ZOTERO_ITEM CSL_CITATION {"citationID":"wroHT5SJ","properties":{"formattedCitation":"(Snelder et al. 2020)","plainCitation":"(Snelder et al. 2020)","dontUpdate":true,"noteIndex":0},"citationItems":[{"id":3818,"uris":["http://zotero.org/groups/2329384/items/2DFS79WZ"],"itemData":{"id":3818,"type":"article-journal","container-title":"New Zealand Journal of Marine and Freshwater Research","issue":"3","note":"publisher: Taylor &amp; Francis","page":"527-550","source":"Google Scholar","title":"Nitrogen loads to New Zealand aquatic receiving environments: comparison with regulatory criteria","title-short":"Nitrogen loads to New Zealand aquatic receiving environments","volume":"54","author":[{"family":"Snelder","given":"Ton H."},{"family":"Whitehead","given":"Amy L."},{"family":"Fraser","given":"Caroline"},{"family":"Larned","given":"Scott T."},{"family":"Schallenberg","given":"Marc"}],"issued":{"date-parts":[["2020"]]}}}],"schema":"https://github.com/citation-style-language/schema/raw/master/csl-citation.json"} </w:instrText>
      </w:r>
      <w:r w:rsidR="00B826E9" w:rsidRPr="005B4A02">
        <w:fldChar w:fldCharType="separate"/>
      </w:r>
      <w:r w:rsidR="00B826E9" w:rsidRPr="005B4A02">
        <w:t xml:space="preserve">Snelder et al. </w:t>
      </w:r>
      <w:r w:rsidR="00776A52">
        <w:t>(</w:t>
      </w:r>
      <w:r w:rsidR="00B826E9" w:rsidRPr="005B4A02">
        <w:t>2020)</w:t>
      </w:r>
      <w:r w:rsidR="00B826E9" w:rsidRPr="005B4A02">
        <w:fldChar w:fldCharType="end"/>
      </w:r>
      <w:r w:rsidR="00B826E9">
        <w:t xml:space="preserve"> in four steps</w:t>
      </w:r>
      <w:r w:rsidR="00DD2FE8">
        <w:t xml:space="preserve">. </w:t>
      </w:r>
      <w:r w:rsidR="00D7014E" w:rsidRPr="005B4A02">
        <w:t xml:space="preserve">First, a national scale regression model was fitted to median TN concentrations observed at 334 monitoring sites distributed throughout New Zealand. Median concentrations at each site were calculated from monthly samples for the five-year period ending 2013. The Southland Region was represented by 58 sites. The model predictors were catchment characteristics that are available for all </w:t>
      </w:r>
      <w:r w:rsidR="0084545B" w:rsidRPr="005B4A02">
        <w:t>segments</w:t>
      </w:r>
      <w:r w:rsidR="0084545B">
        <w:t xml:space="preserve"> of the</w:t>
      </w:r>
      <w:r w:rsidR="0084545B" w:rsidRPr="005B4A02">
        <w:t xml:space="preserve"> </w:t>
      </w:r>
      <w:r w:rsidR="00A461F7">
        <w:t>digital surface water drainage network</w:t>
      </w:r>
      <w:r w:rsidR="00D7014E" w:rsidRPr="005B4A02">
        <w:t xml:space="preserve">. Second, the fitted </w:t>
      </w:r>
      <w:r w:rsidR="00D7014E" w:rsidRPr="005B4A02">
        <w:lastRenderedPageBreak/>
        <w:t xml:space="preserve">regression model was used to predict the current median TN concentration for every river receiving environment. Third, we calculated the ratio of the </w:t>
      </w:r>
      <w:r w:rsidR="00D400AE">
        <w:t xml:space="preserve">current </w:t>
      </w:r>
      <w:r w:rsidR="00D7014E" w:rsidRPr="005B4A02">
        <w:t xml:space="preserve">delivered load </w:t>
      </w:r>
      <w:r w:rsidR="00D400AE">
        <w:t>(i.e.</w:t>
      </w:r>
      <w:r w:rsidR="005A0EFA">
        <w:t xml:space="preserve">, </w:t>
      </w:r>
      <w:r w:rsidR="00D7014E" w:rsidRPr="005B4A02">
        <w:t>for the current land use scenario</w:t>
      </w:r>
      <w:r w:rsidR="005A0EFA">
        <w:t>)</w:t>
      </w:r>
      <w:r w:rsidR="00D7014E" w:rsidRPr="005B4A02">
        <w:t xml:space="preserve"> to the predicted TN concentration. Fourth, we multiplied the TN </w:t>
      </w:r>
      <w:r w:rsidR="005A0EFA">
        <w:t>concentration criteria</w:t>
      </w:r>
      <w:r w:rsidR="00D7014E" w:rsidRPr="005B4A02">
        <w:t xml:space="preserve"> for each receiving environment by this ratio to derive </w:t>
      </w:r>
      <w:r w:rsidR="005A0EFA">
        <w:t xml:space="preserve">the </w:t>
      </w:r>
      <w:r w:rsidR="00D7014E" w:rsidRPr="005B4A02">
        <w:t>corresponding</w:t>
      </w:r>
      <w:r w:rsidR="005A0EFA">
        <w:t xml:space="preserve"> MAL for</w:t>
      </w:r>
      <w:r w:rsidR="00D7014E" w:rsidRPr="005B4A02">
        <w:t xml:space="preserve"> TN.</w:t>
      </w:r>
    </w:p>
    <w:p w14:paraId="5F2F25C5" w14:textId="73F55BFB" w:rsidR="00B826E9" w:rsidRDefault="00B826E9" w:rsidP="00315330"/>
    <w:p w14:paraId="1DAA1908" w14:textId="28A5754C" w:rsidR="001E7E88" w:rsidRDefault="006A6908" w:rsidP="006A6908">
      <w:pPr>
        <w:pStyle w:val="Heading1"/>
      </w:pPr>
      <w:r>
        <w:t>References</w:t>
      </w:r>
    </w:p>
    <w:p w14:paraId="75E525DD" w14:textId="77777777" w:rsidR="00C1714C" w:rsidRPr="00C1714C" w:rsidRDefault="006A6908" w:rsidP="00C1714C">
      <w:pPr>
        <w:pStyle w:val="Bibliography"/>
        <w:rPr>
          <w:rFonts w:cs="Times New Roman"/>
        </w:rPr>
      </w:pPr>
      <w:r>
        <w:fldChar w:fldCharType="begin"/>
      </w:r>
      <w:r w:rsidR="00C1714C">
        <w:instrText xml:space="preserve"> ADDIN ZOTERO_BIBL {"uncited":[],"omitted":[],"custom":[]} CSL_BIBLIOGRAPHY </w:instrText>
      </w:r>
      <w:r>
        <w:fldChar w:fldCharType="separate"/>
      </w:r>
      <w:r w:rsidR="00C1714C" w:rsidRPr="00C1714C">
        <w:rPr>
          <w:rFonts w:cs="Times New Roman"/>
        </w:rPr>
        <w:t>Biggs BJF, Price GM (1987) A survey of filamentous algal proliferations in New Zealand rivers. New Zealand Journal of Marine and Freshwater Research 21:175–191</w:t>
      </w:r>
    </w:p>
    <w:p w14:paraId="72EA86B8" w14:textId="77777777" w:rsidR="00C1714C" w:rsidRPr="00C1714C" w:rsidRDefault="00C1714C" w:rsidP="00C1714C">
      <w:pPr>
        <w:pStyle w:val="Bibliography"/>
        <w:rPr>
          <w:rFonts w:cs="Times New Roman"/>
        </w:rPr>
      </w:pPr>
      <w:r w:rsidRPr="00C1714C">
        <w:rPr>
          <w:rFonts w:cs="Times New Roman"/>
        </w:rPr>
        <w:t>NZ Government (2020) National Policy Statement for Freshwater Management 2020</w:t>
      </w:r>
    </w:p>
    <w:p w14:paraId="2A3F2F5D" w14:textId="77777777" w:rsidR="00C1714C" w:rsidRPr="00C1714C" w:rsidRDefault="00C1714C" w:rsidP="00C1714C">
      <w:pPr>
        <w:pStyle w:val="Bibliography"/>
        <w:rPr>
          <w:rFonts w:cs="Times New Roman"/>
        </w:rPr>
      </w:pPr>
      <w:r w:rsidRPr="00C1714C">
        <w:rPr>
          <w:rFonts w:cs="Times New Roman"/>
        </w:rPr>
        <w:t>NZ Government (2010) New Zealand Coastal Policy Statement.</w:t>
      </w:r>
    </w:p>
    <w:p w14:paraId="5508D9A0" w14:textId="77777777" w:rsidR="00C1714C" w:rsidRPr="00C1714C" w:rsidRDefault="00C1714C" w:rsidP="00C1714C">
      <w:pPr>
        <w:pStyle w:val="Bibliography"/>
        <w:rPr>
          <w:rFonts w:cs="Times New Roman"/>
        </w:rPr>
      </w:pPr>
      <w:r w:rsidRPr="00C1714C">
        <w:rPr>
          <w:rFonts w:cs="Times New Roman"/>
        </w:rPr>
        <w:t>Plew DR, Zeldis JR, Dudley BD, et al (2020) Assessing the Eutrophic Susceptibility of New Zealand Estuaries. Estuaries and Coasts 43:2015–2033. https://doi.org/10.1007/s12237-020-00729-w</w:t>
      </w:r>
    </w:p>
    <w:p w14:paraId="4F91BCF8" w14:textId="77777777" w:rsidR="00C1714C" w:rsidRPr="00C1714C" w:rsidRDefault="00C1714C" w:rsidP="00C1714C">
      <w:pPr>
        <w:pStyle w:val="Bibliography"/>
        <w:rPr>
          <w:rFonts w:cs="Times New Roman"/>
        </w:rPr>
      </w:pPr>
      <w:r w:rsidRPr="00C1714C">
        <w:rPr>
          <w:rFonts w:cs="Times New Roman"/>
        </w:rPr>
        <w:t>Plew DR, Zeldis JR, Shankar U, Elliott AH (2018) Using simple dilution models to predict New Zealand estuarine water quality. Estuaries and coasts 41:1643–1659</w:t>
      </w:r>
    </w:p>
    <w:p w14:paraId="250B5AE0" w14:textId="77777777" w:rsidR="00C1714C" w:rsidRPr="00C1714C" w:rsidRDefault="00C1714C" w:rsidP="00C1714C">
      <w:pPr>
        <w:pStyle w:val="Bibliography"/>
        <w:rPr>
          <w:rFonts w:cs="Times New Roman"/>
        </w:rPr>
      </w:pPr>
      <w:r w:rsidRPr="00C1714C">
        <w:rPr>
          <w:rFonts w:cs="Times New Roman"/>
        </w:rPr>
        <w:t>Snelder TH, Biggs BJF (2002) Multi-scale river environment classification for water resources management. Journal of the American Water Resources Association 38:1225–1240</w:t>
      </w:r>
    </w:p>
    <w:p w14:paraId="3FAA029D" w14:textId="77777777" w:rsidR="00C1714C" w:rsidRPr="00C1714C" w:rsidRDefault="00C1714C" w:rsidP="00C1714C">
      <w:pPr>
        <w:pStyle w:val="Bibliography"/>
        <w:rPr>
          <w:rFonts w:cs="Times New Roman"/>
        </w:rPr>
      </w:pPr>
      <w:r w:rsidRPr="00C1714C">
        <w:rPr>
          <w:rFonts w:cs="Times New Roman"/>
        </w:rPr>
        <w:t>Snelder TH, Moore C, Kilroy C (2019) Nutrient Concentration Targets to Achieve Periphyton Biomass Objectives Incorporating Uncertainties. JAWRA Journal of the American Water Resources Association 55:1443–1463</w:t>
      </w:r>
    </w:p>
    <w:p w14:paraId="7833268F" w14:textId="77777777" w:rsidR="00C1714C" w:rsidRPr="00C1714C" w:rsidRDefault="00C1714C" w:rsidP="00C1714C">
      <w:pPr>
        <w:pStyle w:val="Bibliography"/>
        <w:rPr>
          <w:rFonts w:cs="Times New Roman"/>
        </w:rPr>
      </w:pPr>
      <w:r w:rsidRPr="00C1714C">
        <w:rPr>
          <w:rFonts w:cs="Times New Roman"/>
        </w:rPr>
        <w:t>Snelder TH, Whitehead AL, Fraser C, et al (2020) Nitrogen loads to New Zealand aquatic receiving environments: comparison with regulatory criteria. New Zealand Journal of Marine and Freshwater Research 54:527–550</w:t>
      </w:r>
    </w:p>
    <w:p w14:paraId="5D5B40DF" w14:textId="77777777" w:rsidR="00C1714C" w:rsidRPr="00C1714C" w:rsidRDefault="00C1714C" w:rsidP="00C1714C">
      <w:pPr>
        <w:pStyle w:val="Bibliography"/>
        <w:rPr>
          <w:rFonts w:cs="Times New Roman"/>
        </w:rPr>
      </w:pPr>
      <w:proofErr w:type="spellStart"/>
      <w:r w:rsidRPr="00C1714C">
        <w:rPr>
          <w:rFonts w:cs="Times New Roman"/>
        </w:rPr>
        <w:t>Valiela</w:t>
      </w:r>
      <w:proofErr w:type="spellEnd"/>
      <w:r w:rsidRPr="00C1714C">
        <w:rPr>
          <w:rFonts w:cs="Times New Roman"/>
        </w:rPr>
        <w:t xml:space="preserve"> I, McClelland J, </w:t>
      </w:r>
      <w:proofErr w:type="spellStart"/>
      <w:r w:rsidRPr="00C1714C">
        <w:rPr>
          <w:rFonts w:cs="Times New Roman"/>
        </w:rPr>
        <w:t>Hauxwell</w:t>
      </w:r>
      <w:proofErr w:type="spellEnd"/>
      <w:r w:rsidRPr="00C1714C">
        <w:rPr>
          <w:rFonts w:cs="Times New Roman"/>
        </w:rPr>
        <w:t xml:space="preserve"> J, et al (1997) Macroalgal blooms in shallow estuaries: controls and </w:t>
      </w:r>
      <w:proofErr w:type="spellStart"/>
      <w:r w:rsidRPr="00C1714C">
        <w:rPr>
          <w:rFonts w:cs="Times New Roman"/>
        </w:rPr>
        <w:t>ecophysiological</w:t>
      </w:r>
      <w:proofErr w:type="spellEnd"/>
      <w:r w:rsidRPr="00C1714C">
        <w:rPr>
          <w:rFonts w:cs="Times New Roman"/>
        </w:rPr>
        <w:t xml:space="preserve"> and ecosystem consequences. Limnology and oceanography 42:1105–1118</w:t>
      </w:r>
    </w:p>
    <w:p w14:paraId="10D48DD8" w14:textId="77777777" w:rsidR="00C1714C" w:rsidRPr="00C1714C" w:rsidRDefault="00C1714C" w:rsidP="00C1714C">
      <w:pPr>
        <w:pStyle w:val="Bibliography"/>
        <w:rPr>
          <w:rFonts w:cs="Times New Roman"/>
        </w:rPr>
      </w:pPr>
      <w:proofErr w:type="spellStart"/>
      <w:r w:rsidRPr="00C1714C">
        <w:rPr>
          <w:rFonts w:cs="Times New Roman"/>
        </w:rPr>
        <w:t>Viaroli</w:t>
      </w:r>
      <w:proofErr w:type="spellEnd"/>
      <w:r w:rsidRPr="00C1714C">
        <w:rPr>
          <w:rFonts w:cs="Times New Roman"/>
        </w:rPr>
        <w:t xml:space="preserve"> P, Bartoli M, </w:t>
      </w:r>
      <w:proofErr w:type="spellStart"/>
      <w:r w:rsidRPr="00C1714C">
        <w:rPr>
          <w:rFonts w:cs="Times New Roman"/>
        </w:rPr>
        <w:t>Giordani</w:t>
      </w:r>
      <w:proofErr w:type="spellEnd"/>
      <w:r w:rsidRPr="00C1714C">
        <w:rPr>
          <w:rFonts w:cs="Times New Roman"/>
        </w:rPr>
        <w:t xml:space="preserve"> G, et al (2008) Community shifts, alternative stable states, biogeochemical </w:t>
      </w:r>
      <w:proofErr w:type="gramStart"/>
      <w:r w:rsidRPr="00C1714C">
        <w:rPr>
          <w:rFonts w:cs="Times New Roman"/>
        </w:rPr>
        <w:t>controls</w:t>
      </w:r>
      <w:proofErr w:type="gramEnd"/>
      <w:r w:rsidRPr="00C1714C">
        <w:rPr>
          <w:rFonts w:cs="Times New Roman"/>
        </w:rPr>
        <w:t xml:space="preserve"> and feedbacks in eutrophic coastal lagoons: a brief overview. Aquatic Conservation: Marine and Freshwater Ecosystems </w:t>
      </w:r>
      <w:proofErr w:type="gramStart"/>
      <w:r w:rsidRPr="00C1714C">
        <w:rPr>
          <w:rFonts w:cs="Times New Roman"/>
        </w:rPr>
        <w:t>18:S</w:t>
      </w:r>
      <w:proofErr w:type="gramEnd"/>
      <w:r w:rsidRPr="00C1714C">
        <w:rPr>
          <w:rFonts w:cs="Times New Roman"/>
        </w:rPr>
        <w:t>105–S117</w:t>
      </w:r>
    </w:p>
    <w:p w14:paraId="6F334416" w14:textId="046D70EC" w:rsidR="003C2494" w:rsidRDefault="006A6908" w:rsidP="00315330">
      <w:r>
        <w:fldChar w:fldCharType="end"/>
      </w:r>
    </w:p>
    <w:p w14:paraId="3C555706" w14:textId="77777777" w:rsidR="003C2494" w:rsidRDefault="003C2494" w:rsidP="00315330"/>
    <w:p w14:paraId="63FFC497" w14:textId="52A29891" w:rsidR="006A6908" w:rsidRDefault="006A6908" w:rsidP="00315330"/>
    <w:sectPr w:rsidR="006A69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Frontiers-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rre5fpa1pxrpce2af8v59fpv5txz5r2aa29&quot;&gt;allreferences2021-Converted&lt;record-ids&gt;&lt;item&gt;2307&lt;/item&gt;&lt;/record-ids&gt;&lt;/item&gt;&lt;/Libraries&gt;"/>
  </w:docVars>
  <w:rsids>
    <w:rsidRoot w:val="005B4F08"/>
    <w:rsid w:val="00031431"/>
    <w:rsid w:val="000815D4"/>
    <w:rsid w:val="0008400F"/>
    <w:rsid w:val="0009100E"/>
    <w:rsid w:val="00096EE5"/>
    <w:rsid w:val="000A6DC6"/>
    <w:rsid w:val="000C4F11"/>
    <w:rsid w:val="000C509E"/>
    <w:rsid w:val="000C6A44"/>
    <w:rsid w:val="000E1197"/>
    <w:rsid w:val="000F00CF"/>
    <w:rsid w:val="0012071F"/>
    <w:rsid w:val="0012759F"/>
    <w:rsid w:val="00130EB1"/>
    <w:rsid w:val="00136895"/>
    <w:rsid w:val="00173A83"/>
    <w:rsid w:val="00182C6E"/>
    <w:rsid w:val="001874BC"/>
    <w:rsid w:val="001A754F"/>
    <w:rsid w:val="001B6328"/>
    <w:rsid w:val="001D2CDE"/>
    <w:rsid w:val="001D401B"/>
    <w:rsid w:val="001E7E88"/>
    <w:rsid w:val="001F6726"/>
    <w:rsid w:val="002123ED"/>
    <w:rsid w:val="00226167"/>
    <w:rsid w:val="00226D24"/>
    <w:rsid w:val="00266C66"/>
    <w:rsid w:val="002738E2"/>
    <w:rsid w:val="0027540E"/>
    <w:rsid w:val="0028040F"/>
    <w:rsid w:val="00281531"/>
    <w:rsid w:val="00284B82"/>
    <w:rsid w:val="002A3AF5"/>
    <w:rsid w:val="002D03BD"/>
    <w:rsid w:val="002E5DDF"/>
    <w:rsid w:val="00311D21"/>
    <w:rsid w:val="00315330"/>
    <w:rsid w:val="003214C4"/>
    <w:rsid w:val="0034494A"/>
    <w:rsid w:val="00346C84"/>
    <w:rsid w:val="00360996"/>
    <w:rsid w:val="003833FB"/>
    <w:rsid w:val="003A1AC8"/>
    <w:rsid w:val="003C2494"/>
    <w:rsid w:val="003D644E"/>
    <w:rsid w:val="00427B20"/>
    <w:rsid w:val="0044092A"/>
    <w:rsid w:val="0046030C"/>
    <w:rsid w:val="004622C8"/>
    <w:rsid w:val="0048553D"/>
    <w:rsid w:val="00486D12"/>
    <w:rsid w:val="004918C1"/>
    <w:rsid w:val="004A7815"/>
    <w:rsid w:val="004B30B1"/>
    <w:rsid w:val="004B35A0"/>
    <w:rsid w:val="004C469B"/>
    <w:rsid w:val="00512AC9"/>
    <w:rsid w:val="005461F8"/>
    <w:rsid w:val="005464AC"/>
    <w:rsid w:val="00547BB1"/>
    <w:rsid w:val="005641F4"/>
    <w:rsid w:val="005955FF"/>
    <w:rsid w:val="005970DD"/>
    <w:rsid w:val="005A0EFA"/>
    <w:rsid w:val="005A1B16"/>
    <w:rsid w:val="005B4B26"/>
    <w:rsid w:val="005B4F08"/>
    <w:rsid w:val="005C0374"/>
    <w:rsid w:val="005D2896"/>
    <w:rsid w:val="005E1769"/>
    <w:rsid w:val="005F1B58"/>
    <w:rsid w:val="005F6B85"/>
    <w:rsid w:val="0061207C"/>
    <w:rsid w:val="00612B68"/>
    <w:rsid w:val="00644AAE"/>
    <w:rsid w:val="00680077"/>
    <w:rsid w:val="0068061A"/>
    <w:rsid w:val="00685CDF"/>
    <w:rsid w:val="00686208"/>
    <w:rsid w:val="00693BEA"/>
    <w:rsid w:val="006943A2"/>
    <w:rsid w:val="00697036"/>
    <w:rsid w:val="0069769A"/>
    <w:rsid w:val="006A6908"/>
    <w:rsid w:val="006B6AFA"/>
    <w:rsid w:val="006E241C"/>
    <w:rsid w:val="006E360D"/>
    <w:rsid w:val="006E7DF4"/>
    <w:rsid w:val="00716590"/>
    <w:rsid w:val="007361E7"/>
    <w:rsid w:val="00754800"/>
    <w:rsid w:val="00764E67"/>
    <w:rsid w:val="00766C17"/>
    <w:rsid w:val="00770395"/>
    <w:rsid w:val="007731A5"/>
    <w:rsid w:val="00774664"/>
    <w:rsid w:val="00775F4A"/>
    <w:rsid w:val="00776A52"/>
    <w:rsid w:val="007776C7"/>
    <w:rsid w:val="007C0427"/>
    <w:rsid w:val="007C1252"/>
    <w:rsid w:val="007C7F04"/>
    <w:rsid w:val="007F39AD"/>
    <w:rsid w:val="00804CB6"/>
    <w:rsid w:val="00812B59"/>
    <w:rsid w:val="00816E95"/>
    <w:rsid w:val="00834E9A"/>
    <w:rsid w:val="0084545B"/>
    <w:rsid w:val="008600AB"/>
    <w:rsid w:val="008607BE"/>
    <w:rsid w:val="008909A9"/>
    <w:rsid w:val="00893AA0"/>
    <w:rsid w:val="008A19E9"/>
    <w:rsid w:val="008C2641"/>
    <w:rsid w:val="009068CC"/>
    <w:rsid w:val="009311EC"/>
    <w:rsid w:val="00937A21"/>
    <w:rsid w:val="0094301A"/>
    <w:rsid w:val="00946A50"/>
    <w:rsid w:val="0094781E"/>
    <w:rsid w:val="009479B6"/>
    <w:rsid w:val="00966102"/>
    <w:rsid w:val="00981AC3"/>
    <w:rsid w:val="00984D8D"/>
    <w:rsid w:val="009A1402"/>
    <w:rsid w:val="009C2D8C"/>
    <w:rsid w:val="009D07AD"/>
    <w:rsid w:val="009D55FC"/>
    <w:rsid w:val="00A02AFD"/>
    <w:rsid w:val="00A34AC5"/>
    <w:rsid w:val="00A448B8"/>
    <w:rsid w:val="00A461F7"/>
    <w:rsid w:val="00A71A4E"/>
    <w:rsid w:val="00A72BA8"/>
    <w:rsid w:val="00A82FE7"/>
    <w:rsid w:val="00AA3C47"/>
    <w:rsid w:val="00AC196D"/>
    <w:rsid w:val="00AD772F"/>
    <w:rsid w:val="00B04F6D"/>
    <w:rsid w:val="00B0646E"/>
    <w:rsid w:val="00B14A0E"/>
    <w:rsid w:val="00B81EB5"/>
    <w:rsid w:val="00B826E9"/>
    <w:rsid w:val="00B96486"/>
    <w:rsid w:val="00BB3DE2"/>
    <w:rsid w:val="00BB3FE1"/>
    <w:rsid w:val="00BE36EA"/>
    <w:rsid w:val="00BE4EF7"/>
    <w:rsid w:val="00BF0EF2"/>
    <w:rsid w:val="00BF4576"/>
    <w:rsid w:val="00C01120"/>
    <w:rsid w:val="00C1714C"/>
    <w:rsid w:val="00C209DC"/>
    <w:rsid w:val="00C35888"/>
    <w:rsid w:val="00C4286C"/>
    <w:rsid w:val="00C663EF"/>
    <w:rsid w:val="00C75864"/>
    <w:rsid w:val="00C877B2"/>
    <w:rsid w:val="00C911DC"/>
    <w:rsid w:val="00C91292"/>
    <w:rsid w:val="00CC11E0"/>
    <w:rsid w:val="00D0214B"/>
    <w:rsid w:val="00D331F2"/>
    <w:rsid w:val="00D368D8"/>
    <w:rsid w:val="00D400AE"/>
    <w:rsid w:val="00D457BD"/>
    <w:rsid w:val="00D46A41"/>
    <w:rsid w:val="00D46B10"/>
    <w:rsid w:val="00D54D82"/>
    <w:rsid w:val="00D63202"/>
    <w:rsid w:val="00D7014E"/>
    <w:rsid w:val="00D853A0"/>
    <w:rsid w:val="00D976CF"/>
    <w:rsid w:val="00DA0AEC"/>
    <w:rsid w:val="00DD2FE8"/>
    <w:rsid w:val="00DF1AAC"/>
    <w:rsid w:val="00DF534F"/>
    <w:rsid w:val="00E146F2"/>
    <w:rsid w:val="00E16644"/>
    <w:rsid w:val="00E20AD0"/>
    <w:rsid w:val="00E334F1"/>
    <w:rsid w:val="00E52D49"/>
    <w:rsid w:val="00E55E50"/>
    <w:rsid w:val="00E67854"/>
    <w:rsid w:val="00E72173"/>
    <w:rsid w:val="00E8435F"/>
    <w:rsid w:val="00EC1212"/>
    <w:rsid w:val="00EC12E1"/>
    <w:rsid w:val="00EC2F3C"/>
    <w:rsid w:val="00EC39F3"/>
    <w:rsid w:val="00EE4268"/>
    <w:rsid w:val="00EF5765"/>
    <w:rsid w:val="00F101B6"/>
    <w:rsid w:val="00F1123E"/>
    <w:rsid w:val="00F117FA"/>
    <w:rsid w:val="00F15A81"/>
    <w:rsid w:val="00F245A7"/>
    <w:rsid w:val="00F3258A"/>
    <w:rsid w:val="00F3336F"/>
    <w:rsid w:val="00F47C5E"/>
    <w:rsid w:val="00F81A68"/>
    <w:rsid w:val="00F9140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BF4D3"/>
  <w15:chartTrackingRefBased/>
  <w15:docId w15:val="{858C3A40-484B-47EE-8778-ACF49196B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5A0"/>
    <w:rPr>
      <w:rFonts w:ascii="Times New Roman" w:hAnsi="Times New Roman"/>
      <w:sz w:val="24"/>
      <w:lang w:val="en-US"/>
    </w:rPr>
  </w:style>
  <w:style w:type="paragraph" w:styleId="Heading1">
    <w:name w:val="heading 1"/>
    <w:basedOn w:val="Normal"/>
    <w:next w:val="Normal"/>
    <w:link w:val="Heading1Char"/>
    <w:uiPriority w:val="9"/>
    <w:qFormat/>
    <w:rsid w:val="0012071F"/>
    <w:pPr>
      <w:keepNext/>
      <w:keepLines/>
      <w:spacing w:before="120" w:after="240" w:line="240" w:lineRule="auto"/>
      <w:outlineLvl w:val="0"/>
    </w:pPr>
    <w:rPr>
      <w:rFonts w:ascii="Arial" w:eastAsiaTheme="majorEastAsia" w:hAnsi="Arial" w:cstheme="majorBidi"/>
      <w:b/>
      <w:color w:val="000000" w:themeColor="text1"/>
      <w:szCs w:val="32"/>
    </w:rPr>
  </w:style>
  <w:style w:type="paragraph" w:styleId="Heading2">
    <w:name w:val="heading 2"/>
    <w:basedOn w:val="Normal"/>
    <w:next w:val="Normal"/>
    <w:link w:val="Heading2Char"/>
    <w:uiPriority w:val="9"/>
    <w:unhideWhenUsed/>
    <w:qFormat/>
    <w:rsid w:val="0012071F"/>
    <w:pPr>
      <w:keepNext/>
      <w:keepLines/>
      <w:spacing w:before="120" w:after="240" w:line="240" w:lineRule="auto"/>
      <w:outlineLvl w:val="1"/>
    </w:pPr>
    <w:rPr>
      <w:rFonts w:ascii="Arial" w:eastAsiaTheme="majorEastAsia" w:hAnsi="Arial" w:cstheme="majorBidi"/>
      <w:color w:val="000000" w:themeColor="text1"/>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71F"/>
    <w:rPr>
      <w:rFonts w:ascii="Arial" w:eastAsiaTheme="majorEastAsia" w:hAnsi="Arial" w:cstheme="majorBidi"/>
      <w:b/>
      <w:color w:val="000000" w:themeColor="text1"/>
      <w:sz w:val="24"/>
      <w:szCs w:val="32"/>
      <w:lang w:val="en-US"/>
    </w:rPr>
  </w:style>
  <w:style w:type="character" w:styleId="CommentReference">
    <w:name w:val="annotation reference"/>
    <w:basedOn w:val="DefaultParagraphFont"/>
    <w:uiPriority w:val="99"/>
    <w:semiHidden/>
    <w:unhideWhenUsed/>
    <w:rsid w:val="006E360D"/>
    <w:rPr>
      <w:sz w:val="16"/>
      <w:szCs w:val="16"/>
    </w:rPr>
  </w:style>
  <w:style w:type="paragraph" w:styleId="CommentText">
    <w:name w:val="annotation text"/>
    <w:basedOn w:val="Normal"/>
    <w:link w:val="CommentTextChar"/>
    <w:autoRedefine/>
    <w:uiPriority w:val="99"/>
    <w:unhideWhenUsed/>
    <w:rsid w:val="006E360D"/>
    <w:pPr>
      <w:spacing w:after="120" w:line="240" w:lineRule="auto"/>
    </w:pPr>
    <w:rPr>
      <w:szCs w:val="24"/>
    </w:rPr>
  </w:style>
  <w:style w:type="character" w:customStyle="1" w:styleId="CommentTextChar">
    <w:name w:val="Comment Text Char"/>
    <w:basedOn w:val="DefaultParagraphFont"/>
    <w:link w:val="CommentText"/>
    <w:uiPriority w:val="99"/>
    <w:rsid w:val="006E360D"/>
    <w:rPr>
      <w:rFonts w:ascii="Times New Roman" w:hAnsi="Times New Roman"/>
      <w:sz w:val="24"/>
      <w:szCs w:val="24"/>
      <w:lang w:val="en-US"/>
    </w:rPr>
  </w:style>
  <w:style w:type="paragraph" w:styleId="CommentSubject">
    <w:name w:val="annotation subject"/>
    <w:basedOn w:val="CommentText"/>
    <w:next w:val="CommentText"/>
    <w:link w:val="CommentSubjectChar"/>
    <w:uiPriority w:val="99"/>
    <w:semiHidden/>
    <w:unhideWhenUsed/>
    <w:rsid w:val="005F6B85"/>
    <w:pPr>
      <w:spacing w:after="160"/>
    </w:pPr>
    <w:rPr>
      <w:rFonts w:asciiTheme="minorHAnsi" w:hAnsiTheme="minorHAnsi"/>
      <w:b/>
      <w:bCs/>
      <w:sz w:val="20"/>
      <w:szCs w:val="20"/>
    </w:rPr>
  </w:style>
  <w:style w:type="character" w:customStyle="1" w:styleId="CommentSubjectChar">
    <w:name w:val="Comment Subject Char"/>
    <w:basedOn w:val="CommentTextChar"/>
    <w:link w:val="CommentSubject"/>
    <w:uiPriority w:val="99"/>
    <w:semiHidden/>
    <w:rsid w:val="005F6B85"/>
    <w:rPr>
      <w:rFonts w:ascii="Times New Roman" w:hAnsi="Times New Roman"/>
      <w:b/>
      <w:bCs/>
      <w:sz w:val="20"/>
      <w:szCs w:val="20"/>
      <w:lang w:val="en-US"/>
    </w:rPr>
  </w:style>
  <w:style w:type="character" w:customStyle="1" w:styleId="Heading2Char">
    <w:name w:val="Heading 2 Char"/>
    <w:basedOn w:val="DefaultParagraphFont"/>
    <w:link w:val="Heading2"/>
    <w:uiPriority w:val="9"/>
    <w:rsid w:val="0012071F"/>
    <w:rPr>
      <w:rFonts w:ascii="Arial" w:eastAsiaTheme="majorEastAsia" w:hAnsi="Arial" w:cstheme="majorBidi"/>
      <w:color w:val="000000" w:themeColor="text1"/>
      <w:sz w:val="20"/>
      <w:szCs w:val="26"/>
      <w:lang w:val="en-US"/>
    </w:rPr>
  </w:style>
  <w:style w:type="paragraph" w:styleId="NormalWeb">
    <w:name w:val="Normal (Web)"/>
    <w:basedOn w:val="Normal"/>
    <w:uiPriority w:val="99"/>
    <w:semiHidden/>
    <w:unhideWhenUsed/>
    <w:rsid w:val="00EF5765"/>
    <w:pPr>
      <w:spacing w:before="100" w:beforeAutospacing="1" w:after="100" w:afterAutospacing="1" w:line="240" w:lineRule="auto"/>
    </w:pPr>
    <w:rPr>
      <w:rFonts w:eastAsiaTheme="minorEastAsia" w:cs="Times New Roman"/>
      <w:szCs w:val="24"/>
      <w:lang w:val="en-NZ" w:eastAsia="en-NZ"/>
    </w:rPr>
  </w:style>
  <w:style w:type="paragraph" w:styleId="Bibliography">
    <w:name w:val="Bibliography"/>
    <w:basedOn w:val="Normal"/>
    <w:next w:val="Normal"/>
    <w:uiPriority w:val="37"/>
    <w:unhideWhenUsed/>
    <w:rsid w:val="006A6908"/>
    <w:pPr>
      <w:spacing w:after="240" w:line="240" w:lineRule="auto"/>
      <w:ind w:left="720" w:hanging="720"/>
    </w:pPr>
  </w:style>
  <w:style w:type="paragraph" w:customStyle="1" w:styleId="NoNum">
    <w:name w:val="NoNum"/>
    <w:basedOn w:val="Normal"/>
    <w:link w:val="NoNumChar"/>
    <w:uiPriority w:val="1"/>
    <w:qFormat/>
    <w:rsid w:val="00C209DC"/>
    <w:pPr>
      <w:tabs>
        <w:tab w:val="left" w:pos="709"/>
        <w:tab w:val="left" w:pos="1276"/>
        <w:tab w:val="left" w:pos="1843"/>
        <w:tab w:val="left" w:pos="2410"/>
      </w:tabs>
      <w:spacing w:line="360" w:lineRule="atLeast"/>
    </w:pPr>
    <w:rPr>
      <w:rFonts w:ascii="Arial" w:eastAsia="Times New Roman" w:hAnsi="Arial" w:cs="Times New Roman"/>
      <w:sz w:val="22"/>
      <w:lang w:val="en-NZ" w:eastAsia="en-NZ"/>
    </w:rPr>
  </w:style>
  <w:style w:type="character" w:customStyle="1" w:styleId="NoNumChar">
    <w:name w:val="NoNum Char"/>
    <w:basedOn w:val="DefaultParagraphFont"/>
    <w:link w:val="NoNum"/>
    <w:uiPriority w:val="1"/>
    <w:locked/>
    <w:rsid w:val="00C209DC"/>
    <w:rPr>
      <w:rFonts w:ascii="Arial" w:eastAsia="Times New Roman" w:hAnsi="Arial" w:cs="Times New Roman"/>
      <w:lang w:eastAsia="en-NZ"/>
    </w:rPr>
  </w:style>
  <w:style w:type="table" w:styleId="TableGrid">
    <w:name w:val="Table Grid"/>
    <w:basedOn w:val="TableNormal"/>
    <w:uiPriority w:val="39"/>
    <w:rsid w:val="00C209DC"/>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11EC"/>
    <w:pPr>
      <w:spacing w:after="0" w:line="240" w:lineRule="auto"/>
    </w:pPr>
    <w:rPr>
      <w:rFonts w:ascii="Times New Roman" w:hAnsi="Times New Roman"/>
      <w:sz w:val="24"/>
      <w:lang w:val="en-US"/>
    </w:rPr>
  </w:style>
  <w:style w:type="paragraph" w:customStyle="1" w:styleId="EndNoteBibliographyTitle">
    <w:name w:val="EndNote Bibliography Title"/>
    <w:basedOn w:val="Normal"/>
    <w:link w:val="EndNoteBibliographyTitleChar"/>
    <w:rsid w:val="003C2494"/>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3C2494"/>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3C2494"/>
    <w:pPr>
      <w:spacing w:line="240" w:lineRule="auto"/>
    </w:pPr>
    <w:rPr>
      <w:rFonts w:cs="Times New Roman"/>
      <w:noProof/>
    </w:rPr>
  </w:style>
  <w:style w:type="character" w:customStyle="1" w:styleId="EndNoteBibliographyChar">
    <w:name w:val="EndNote Bibliography Char"/>
    <w:basedOn w:val="DefaultParagraphFont"/>
    <w:link w:val="EndNoteBibliography"/>
    <w:rsid w:val="003C2494"/>
    <w:rPr>
      <w:rFonts w:ascii="Times New Roman" w:hAnsi="Times New Roman" w:cs="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00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customXml" Target="ink/ink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ustomXml" Target="ink/ink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18-12-17T06:58:43.600"/>
    </inkml:context>
    <inkml:brush xml:id="br0">
      <inkml:brushProperty name="width" value="0.05" units="cm"/>
      <inkml:brushProperty name="height" value="0.05" units="cm"/>
      <inkml:brushProperty name="color" value="#004F8B"/>
    </inkml:brush>
  </inkml:definitions>
  <inkml:trace contextRef="#ctx0" brushRef="#br0">0 1 5304 0 0,'0'0'568'0'0,"0"0"8"0"0,0 0-3976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18-12-17T06:58:42.527"/>
    </inkml:context>
    <inkml:brush xml:id="br0">
      <inkml:brushProperty name="width" value="0.05" units="cm"/>
      <inkml:brushProperty name="height" value="0.05" units="cm"/>
      <inkml:brushProperty name="color" value="#004F8B"/>
    </inkml:brush>
  </inkml:definitions>
  <inkml:trace contextRef="#ctx0" brushRef="#br0">0 0 7760 0 0,'0'0'352'0'0,"0"0"8"0"0,0 0-5280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AE30E8E48B814DA3329C0EADCFFD4E" ma:contentTypeVersion="14" ma:contentTypeDescription="Create a new document." ma:contentTypeScope="" ma:versionID="5743324e8a70a2ed5e19be0d795812ff">
  <xsd:schema xmlns:xsd="http://www.w3.org/2001/XMLSchema" xmlns:xs="http://www.w3.org/2001/XMLSchema" xmlns:p="http://schemas.microsoft.com/office/2006/metadata/properties" xmlns:ns2="b6338c44-df52-4da4-8f0f-025ce16891f0" xmlns:ns3="9baa44c4-f66c-4765-8498-62b0cbc52946" xmlns:ns4="0695f7bf-4035-415e-adc0-f38ea82b41a9" targetNamespace="http://schemas.microsoft.com/office/2006/metadata/properties" ma:root="true" ma:fieldsID="9c102e42189e7000f9bac2e54f82ae99" ns2:_="" ns3:_="" ns4:_="">
    <xsd:import namespace="b6338c44-df52-4da4-8f0f-025ce16891f0"/>
    <xsd:import namespace="9baa44c4-f66c-4765-8498-62b0cbc52946"/>
    <xsd:import namespace="0695f7bf-4035-415e-adc0-f38ea82b41a9"/>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338c44-df52-4da4-8f0f-025ce16891f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1" nillable="true" ma:displayName="Taxonomy Catch All Column" ma:hidden="true" ma:list="{b00b8b59-648b-46b4-9d7a-2a06c1deb9e8}" ma:internalName="TaxCatchAll" ma:showField="CatchAllData" ma:web="b6338c44-df52-4da4-8f0f-025ce16891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aa44c4-f66c-4765-8498-62b0cbc52946"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5f7bf-4035-415e-adc0-f38ea82b41a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0eded47-dfc0-4c4f-8241-f5eb6f289b5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95f7bf-4035-415e-adc0-f38ea82b41a9">
      <Terms xmlns="http://schemas.microsoft.com/office/infopath/2007/PartnerControls"/>
    </lcf76f155ced4ddcb4097134ff3c332f>
    <TaxCatchAll xmlns="b6338c44-df52-4da4-8f0f-025ce16891f0" xsi:nil="true"/>
  </documentManagement>
</p:properties>
</file>

<file path=customXml/itemProps1.xml><?xml version="1.0" encoding="utf-8"?>
<ds:datastoreItem xmlns:ds="http://schemas.openxmlformats.org/officeDocument/2006/customXml" ds:itemID="{E07BA77F-AF16-4A8A-9E34-B47A8FCA4293}">
  <ds:schemaRefs>
    <ds:schemaRef ds:uri="http://schemas.microsoft.com/sharepoint/v3/contenttype/forms"/>
  </ds:schemaRefs>
</ds:datastoreItem>
</file>

<file path=customXml/itemProps2.xml><?xml version="1.0" encoding="utf-8"?>
<ds:datastoreItem xmlns:ds="http://schemas.openxmlformats.org/officeDocument/2006/customXml" ds:itemID="{7A80F636-1227-4302-AD5B-13E9E74EE952}"/>
</file>

<file path=customXml/itemProps3.xml><?xml version="1.0" encoding="utf-8"?>
<ds:datastoreItem xmlns:ds="http://schemas.openxmlformats.org/officeDocument/2006/customXml" ds:itemID="{3C9B25DB-0AB6-4B04-80BE-7D173D5C76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2988</Words>
  <Characters>17034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Snelder</dc:creator>
  <cp:keywords/>
  <dc:description/>
  <cp:lastModifiedBy>Ton Snelder</cp:lastModifiedBy>
  <cp:revision>4</cp:revision>
  <dcterms:created xsi:type="dcterms:W3CDTF">2022-08-05T02:31:00Z</dcterms:created>
  <dcterms:modified xsi:type="dcterms:W3CDTF">2022-08-05T02:33:00Z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0x0101009DAE30E8E48B814DA3329C0EADCFFD4E</vt:lpwstr>
  </property>
  <property fmtid="{D5CDD505-2E9C-101B-9397-08002B2CF9AE}" pid="3" name="ZOTERO_PREF_1">
    <vt:lpwstr>&lt;data data-version="3" zotero-version="6.0.10"&gt;&lt;session id="rnIgZh32"/&gt;&lt;style id="http://www.zotero.org/styles/environmental-management" hasBibliography="1" bibliographyStyleHasBeenSet="1"/&gt;&lt;prefs&gt;&lt;pref name="fieldType" value="Field"/&gt;&lt;/prefs&gt;&lt;/data&gt;</vt:lpwstr>
  </property>
</Properties>
</file>