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10ECE" w14:textId="6C059C65" w:rsidR="00015F74" w:rsidRDefault="00BB2D2A" w:rsidP="00B9440A">
      <w:pPr>
        <w:pStyle w:val="SMHeading"/>
        <w:rPr>
          <w:rFonts w:ascii="Arial" w:hAnsi="Arial" w:cs="Arial"/>
          <w:sz w:val="20"/>
          <w:szCs w:val="20"/>
        </w:rPr>
      </w:pPr>
      <w:bookmarkStart w:id="0" w:name="Tables"/>
      <w:bookmarkStart w:id="1" w:name="MaterialsMethods"/>
      <w:bookmarkEnd w:id="0"/>
      <w:bookmarkEnd w:id="1"/>
      <w:r w:rsidRPr="00DC623A">
        <w:rPr>
          <w:rFonts w:ascii="Arial" w:hAnsi="Arial" w:cs="Arial"/>
          <w:sz w:val="20"/>
          <w:szCs w:val="20"/>
        </w:rPr>
        <w:t>Supplementary</w:t>
      </w:r>
      <w:r w:rsidR="00015F74" w:rsidRPr="00DC623A">
        <w:rPr>
          <w:rFonts w:ascii="Arial" w:hAnsi="Arial" w:cs="Arial"/>
          <w:sz w:val="20"/>
          <w:szCs w:val="20"/>
        </w:rPr>
        <w:t xml:space="preserve"> </w:t>
      </w:r>
      <w:r w:rsidR="001C0975" w:rsidRPr="00DC623A">
        <w:rPr>
          <w:rFonts w:ascii="Arial" w:hAnsi="Arial" w:cs="Arial"/>
          <w:sz w:val="20"/>
          <w:szCs w:val="20"/>
        </w:rPr>
        <w:t>Information Text</w:t>
      </w:r>
    </w:p>
    <w:p w14:paraId="2E4DB5B8" w14:textId="77777777" w:rsidR="00B86C85" w:rsidRPr="00DC623A" w:rsidRDefault="00B86C85" w:rsidP="00B9440A">
      <w:pPr>
        <w:pStyle w:val="SMHeading"/>
        <w:rPr>
          <w:rFonts w:ascii="Arial" w:hAnsi="Arial" w:cs="Arial"/>
          <w:sz w:val="20"/>
          <w:szCs w:val="20"/>
        </w:rPr>
      </w:pPr>
    </w:p>
    <w:p w14:paraId="371EE319" w14:textId="42E40D22" w:rsidR="00C02634" w:rsidRPr="00C02634" w:rsidRDefault="00C02634" w:rsidP="00C02634">
      <w:pPr>
        <w:spacing w:line="480" w:lineRule="auto"/>
        <w:jc w:val="both"/>
        <w:rPr>
          <w:rFonts w:ascii="Arial" w:hAnsi="Arial" w:cs="Arial"/>
          <w:b/>
          <w:bCs/>
          <w:sz w:val="20"/>
        </w:rPr>
      </w:pPr>
      <w:r w:rsidRPr="00C02634">
        <w:rPr>
          <w:rFonts w:ascii="Arial" w:hAnsi="Arial" w:cs="Arial"/>
          <w:b/>
          <w:bCs/>
          <w:sz w:val="20"/>
        </w:rPr>
        <w:t>Supporting Methods</w:t>
      </w:r>
    </w:p>
    <w:p w14:paraId="36FAFCD1" w14:textId="77777777" w:rsidR="00C02634" w:rsidRPr="00C02634" w:rsidRDefault="00C02634" w:rsidP="00C02634">
      <w:pPr>
        <w:spacing w:line="480" w:lineRule="auto"/>
        <w:jc w:val="both"/>
        <w:rPr>
          <w:rFonts w:ascii="Arial" w:hAnsi="Arial" w:cs="Arial"/>
          <w:b/>
          <w:bCs/>
          <w:sz w:val="20"/>
        </w:rPr>
      </w:pPr>
      <w:r w:rsidRPr="00C02634">
        <w:rPr>
          <w:rFonts w:ascii="Arial" w:hAnsi="Arial" w:cs="Arial"/>
          <w:b/>
          <w:bCs/>
          <w:sz w:val="20"/>
        </w:rPr>
        <w:t>Chemicals</w:t>
      </w:r>
    </w:p>
    <w:p w14:paraId="55C1A362" w14:textId="5F91737C" w:rsidR="00C02634" w:rsidRPr="00C02634" w:rsidRDefault="00C02634" w:rsidP="00C02634">
      <w:pPr>
        <w:spacing w:line="480" w:lineRule="auto"/>
        <w:jc w:val="both"/>
        <w:rPr>
          <w:rFonts w:ascii="Arial" w:hAnsi="Arial" w:cs="Arial"/>
          <w:sz w:val="20"/>
        </w:rPr>
      </w:pPr>
      <w:r w:rsidRPr="00C02634">
        <w:rPr>
          <w:rFonts w:ascii="Arial" w:hAnsi="Arial" w:cs="Arial"/>
          <w:sz w:val="20"/>
        </w:rPr>
        <w:t>Optima- and</w:t>
      </w:r>
      <w:r>
        <w:rPr>
          <w:rFonts w:ascii="Arial" w:hAnsi="Arial" w:cs="Arial"/>
          <w:sz w:val="20"/>
        </w:rPr>
        <w:t xml:space="preserve"> </w:t>
      </w:r>
      <w:proofErr w:type="gramStart"/>
      <w:r>
        <w:rPr>
          <w:rFonts w:ascii="Arial" w:hAnsi="Arial" w:cs="Arial"/>
          <w:sz w:val="20"/>
        </w:rPr>
        <w:t>high performance</w:t>
      </w:r>
      <w:proofErr w:type="gramEnd"/>
      <w:r>
        <w:rPr>
          <w:rFonts w:ascii="Arial" w:hAnsi="Arial" w:cs="Arial"/>
          <w:sz w:val="20"/>
        </w:rPr>
        <w:t xml:space="preserve"> liquid chromatography</w:t>
      </w:r>
      <w:r w:rsidRPr="00C02634">
        <w:rPr>
          <w:rFonts w:ascii="Arial" w:hAnsi="Arial" w:cs="Arial"/>
          <w:sz w:val="20"/>
        </w:rPr>
        <w:t xml:space="preserve"> </w:t>
      </w:r>
      <w:r>
        <w:rPr>
          <w:rFonts w:ascii="Arial" w:hAnsi="Arial" w:cs="Arial"/>
          <w:sz w:val="20"/>
        </w:rPr>
        <w:t>(</w:t>
      </w:r>
      <w:r w:rsidRPr="00C02634">
        <w:rPr>
          <w:rFonts w:ascii="Arial" w:hAnsi="Arial" w:cs="Arial"/>
          <w:sz w:val="20"/>
        </w:rPr>
        <w:t>HPLC</w:t>
      </w:r>
      <w:r>
        <w:rPr>
          <w:rFonts w:ascii="Arial" w:hAnsi="Arial" w:cs="Arial"/>
          <w:sz w:val="20"/>
        </w:rPr>
        <w:t>)</w:t>
      </w:r>
      <w:r w:rsidRPr="00C02634">
        <w:rPr>
          <w:rFonts w:ascii="Arial" w:hAnsi="Arial" w:cs="Arial"/>
          <w:sz w:val="20"/>
        </w:rPr>
        <w:t xml:space="preserve">-grade reagents (water, acetonitrile (ACN), methanol (MeOH), isopropanol, acetic acid, formic acid) were purchased from Fisher Scientific. Ammonium acetate was purchased from Sigma-Aldrich. The </w:t>
      </w:r>
      <w:proofErr w:type="spellStart"/>
      <w:r w:rsidRPr="00C02634">
        <w:rPr>
          <w:rFonts w:ascii="Arial" w:hAnsi="Arial" w:cs="Arial"/>
          <w:sz w:val="20"/>
        </w:rPr>
        <w:t>AccQTag</w:t>
      </w:r>
      <w:proofErr w:type="spellEnd"/>
      <w:r w:rsidRPr="00C02634">
        <w:rPr>
          <w:rFonts w:ascii="Arial" w:hAnsi="Arial" w:cs="Arial"/>
          <w:sz w:val="20"/>
        </w:rPr>
        <w:t xml:space="preserve"> Ultra derivatization kit was purchased from Waters.  Chemical reference standards and isotopically labeled internal standards and vendors are listed in </w:t>
      </w:r>
      <w:r w:rsidR="00E370E0">
        <w:rPr>
          <w:rFonts w:ascii="Arial" w:hAnsi="Arial" w:cs="Arial"/>
          <w:b/>
          <w:bCs/>
          <w:sz w:val="20"/>
        </w:rPr>
        <w:t>Supplemental</w:t>
      </w:r>
      <w:r w:rsidRPr="00C02634">
        <w:rPr>
          <w:rFonts w:ascii="Arial" w:hAnsi="Arial" w:cs="Arial"/>
          <w:b/>
          <w:bCs/>
          <w:sz w:val="20"/>
        </w:rPr>
        <w:t xml:space="preserve"> Table 1</w:t>
      </w:r>
      <w:r w:rsidRPr="00C02634">
        <w:rPr>
          <w:rFonts w:ascii="Arial" w:hAnsi="Arial" w:cs="Arial"/>
          <w:sz w:val="20"/>
        </w:rPr>
        <w:t>.</w:t>
      </w:r>
    </w:p>
    <w:p w14:paraId="00A5CF0E" w14:textId="77777777" w:rsidR="00C02634" w:rsidRPr="00C02634" w:rsidRDefault="00C02634" w:rsidP="00C02634">
      <w:pPr>
        <w:spacing w:line="480" w:lineRule="auto"/>
        <w:jc w:val="both"/>
        <w:rPr>
          <w:rFonts w:ascii="Arial" w:hAnsi="Arial" w:cs="Arial"/>
          <w:sz w:val="20"/>
        </w:rPr>
      </w:pPr>
    </w:p>
    <w:p w14:paraId="74050780" w14:textId="437A9223" w:rsidR="00C02634" w:rsidRPr="00C02634" w:rsidRDefault="00C02634" w:rsidP="00C02634">
      <w:pPr>
        <w:spacing w:line="480" w:lineRule="auto"/>
        <w:jc w:val="both"/>
        <w:rPr>
          <w:rFonts w:ascii="Arial" w:hAnsi="Arial" w:cs="Arial"/>
          <w:sz w:val="20"/>
        </w:rPr>
      </w:pPr>
      <w:r w:rsidRPr="00C02634">
        <w:rPr>
          <w:rFonts w:ascii="Arial" w:hAnsi="Arial" w:cs="Arial"/>
          <w:b/>
          <w:bCs/>
          <w:sz w:val="20"/>
        </w:rPr>
        <w:t>Triple Quadrupole</w:t>
      </w:r>
      <w:r>
        <w:rPr>
          <w:rFonts w:ascii="Arial" w:hAnsi="Arial" w:cs="Arial"/>
          <w:b/>
          <w:bCs/>
          <w:sz w:val="20"/>
        </w:rPr>
        <w:t xml:space="preserve"> liquid chromatography </w:t>
      </w:r>
      <w:r w:rsidR="00387911">
        <w:rPr>
          <w:rFonts w:ascii="Arial" w:hAnsi="Arial" w:cs="Arial"/>
          <w:b/>
          <w:bCs/>
          <w:sz w:val="20"/>
        </w:rPr>
        <w:t>tandem mass spectrometry</w:t>
      </w:r>
      <w:r w:rsidRPr="00C02634">
        <w:rPr>
          <w:rFonts w:ascii="Arial" w:hAnsi="Arial" w:cs="Arial"/>
          <w:b/>
          <w:bCs/>
          <w:sz w:val="20"/>
        </w:rPr>
        <w:t xml:space="preserve"> </w:t>
      </w:r>
      <w:r w:rsidR="00387911">
        <w:rPr>
          <w:rFonts w:ascii="Arial" w:hAnsi="Arial" w:cs="Arial"/>
          <w:b/>
          <w:bCs/>
          <w:sz w:val="20"/>
        </w:rPr>
        <w:t>(</w:t>
      </w:r>
      <w:r w:rsidRPr="00C02634">
        <w:rPr>
          <w:rFonts w:ascii="Arial" w:hAnsi="Arial" w:cs="Arial"/>
          <w:b/>
          <w:bCs/>
          <w:sz w:val="20"/>
        </w:rPr>
        <w:t>LC-</w:t>
      </w:r>
      <w:r w:rsidR="00387911">
        <w:rPr>
          <w:rFonts w:ascii="Arial" w:hAnsi="Arial" w:cs="Arial"/>
          <w:b/>
          <w:bCs/>
          <w:sz w:val="20"/>
        </w:rPr>
        <w:t>MS/MS)</w:t>
      </w:r>
      <w:r w:rsidRPr="00C02634">
        <w:rPr>
          <w:rFonts w:ascii="Arial" w:hAnsi="Arial" w:cs="Arial"/>
          <w:b/>
          <w:bCs/>
          <w:sz w:val="20"/>
        </w:rPr>
        <w:t xml:space="preserve"> Method for Quantitative Analysis of Biologic Amines</w:t>
      </w:r>
    </w:p>
    <w:p w14:paraId="7FFDBB46" w14:textId="091DA35E" w:rsidR="00C02634" w:rsidRPr="00C02634" w:rsidRDefault="00C02634" w:rsidP="00C02634">
      <w:pPr>
        <w:spacing w:line="480" w:lineRule="auto"/>
        <w:jc w:val="both"/>
        <w:rPr>
          <w:rFonts w:ascii="Arial" w:hAnsi="Arial" w:cs="Arial"/>
          <w:sz w:val="20"/>
        </w:rPr>
      </w:pPr>
      <w:r w:rsidRPr="00C02634">
        <w:rPr>
          <w:rFonts w:ascii="Arial" w:hAnsi="Arial" w:cs="Arial"/>
          <w:sz w:val="20"/>
        </w:rPr>
        <w:t xml:space="preserve">Protein precipitation with cold methanol was employed for all plasma, calibration standards (CAL) and quality control (QC) samples. Samples were derivatized as described previously </w:t>
      </w:r>
      <w:r w:rsidRPr="00C02634">
        <w:rPr>
          <w:rFonts w:ascii="Arial" w:hAnsi="Arial" w:cs="Arial"/>
          <w:sz w:val="20"/>
        </w:rPr>
        <w:fldChar w:fldCharType="begin" w:fldLock="1"/>
      </w:r>
      <w:r w:rsidR="00387911">
        <w:rPr>
          <w:rFonts w:ascii="Arial" w:hAnsi="Arial" w:cs="Arial"/>
          <w:sz w:val="20"/>
        </w:rPr>
        <w:instrText>ADDIN CSL_CITATION {"citationItems":[{"id":"ITEM-1","itemData":{"DOI":"10.1016/j.biopsych.2018.08.016","ISBN":"00063223","ISSN":"1873-2402","PMID":"30446206","abstract":"BACKGROUND Autism spectrum disorder (ASD) is behaviorally and biologically heterogeneous and likely represents a series of conditions arising from different underlying genetic, metabolic, and environmental factors. There are currently no reliable diagnostic biomarkers for ASD. Based on evidence that dysregulation of branched-chain amino acids (BCAAs) may contribute to the behavioral characteristics of ASD, we tested whether dysregulation of amino acids (AAs) was a pervasive phenomenon in individuals with ASD. This is the first article to report results from the Children's Autism Metabolome Project (CAMP), a large-scale effort to define autism biomarkers based on metabolomic analyses of blood samples from young children. METHODS Dysregulation of AA metabolism was identified by comparing plasma metabolites from 516 children with ASD with those from 164 age-matched typically developing children recruited into the CAMP. ASD subjects were stratified into subpopulations based on shared metabolic phenotypes associated with BCAA dysregulation. RESULTS We identified groups of AAs with positive correlations that were, as a group, negatively correlated with BCAA levels in ASD. Imbalances between these two groups of AAs identified three ASD-associated amino acid dysregulation metabotypes. The combination of glutamine, glycine, and ornithine amino acid dysregulation metabotypes identified a dysregulation in AA/BCAA metabolism that is present in 16.7% of the CAMP subjects with ASD and is detectable with a specificity of 96.3% and a positive predictive value of 93.5% within the ASD subject cohort. CONCLUSIONS Identification and utilization of metabotypes of ASD can lead to actionable metabolic tests that support early diagnosis and stratification for targeted therapeutic interventions.","author":[{"dropping-particle":"","family":"Smith","given":"Alan M.","non-dropping-particle":"","parse-names":false,"suffix":""},{"dropping-particle":"","family":"King","given":"Joseph J.","non-dropping-particle":"","parse-names":false,"suffix":""},{"dropping-particle":"","family":"West","given":"Paul R.","non-dropping-particle":"","parse-names":false,"suffix":""},{"dropping-particle":"","family":"Ludwig","given":"Michael A.","non-dropping-particle":"","parse-names":false,"suffix":""},{"dropping-particle":"","family":"Donley","given":"Elizabeth L.R. R","non-dropping-particle":"","parse-names":false,"suffix":""},{"dropping-particle":"","family":"Burrier","given":"Robert E.","non-dropping-particle":"","parse-names":false,"suffix":""},{"dropping-particle":"","family":"Amaral","given":"David G.","non-dropping-particle":"","parse-names":false,"suffix":""}],"container-title":"Biological psychiatry","id":"ITEM-1","issue":"4","issued":{"date-parts":[["2019"]]},"page":"345-354","title":"Amino Acid Dysregulation Metabotypes: Potential Biomarkers for Diagnosis and Individualized Treatment for Subtypes of Autism Spectrum Disorder.","type":"article-journal","volume":"85"},"uris":["http://www.mendeley.com/documents/?uuid=5187f405-50d2-4fea-a2f8-6b515cd5ddda"]}],"mendeley":{"formattedCitation":"(1)","plainTextFormattedCitation":"(1)","previouslyFormattedCitation":"(1)"},"properties":{"noteIndex":0},"schema":"https://github.com/citation-style-language/schema/raw/master/csl-citation.json"}</w:instrText>
      </w:r>
      <w:r w:rsidRPr="00C02634">
        <w:rPr>
          <w:rFonts w:ascii="Arial" w:hAnsi="Arial" w:cs="Arial"/>
          <w:sz w:val="20"/>
        </w:rPr>
        <w:fldChar w:fldCharType="separate"/>
      </w:r>
      <w:r w:rsidRPr="00C02634">
        <w:rPr>
          <w:rFonts w:ascii="Arial" w:hAnsi="Arial" w:cs="Arial"/>
          <w:noProof/>
          <w:sz w:val="20"/>
        </w:rPr>
        <w:t>(1)</w:t>
      </w:r>
      <w:r w:rsidRPr="00C02634">
        <w:rPr>
          <w:rFonts w:ascii="Arial" w:hAnsi="Arial" w:cs="Arial"/>
          <w:sz w:val="20"/>
        </w:rPr>
        <w:fldChar w:fldCharType="end"/>
      </w:r>
      <w:r w:rsidRPr="00C02634">
        <w:rPr>
          <w:rFonts w:ascii="Arial" w:hAnsi="Arial" w:cs="Arial"/>
          <w:sz w:val="20"/>
        </w:rPr>
        <w:t xml:space="preserve"> using the </w:t>
      </w:r>
      <w:proofErr w:type="spellStart"/>
      <w:r w:rsidRPr="00C02634">
        <w:rPr>
          <w:rFonts w:ascii="Arial" w:hAnsi="Arial" w:cs="Arial"/>
          <w:sz w:val="20"/>
        </w:rPr>
        <w:t>AccQTag</w:t>
      </w:r>
      <w:proofErr w:type="spellEnd"/>
      <w:r w:rsidRPr="00C02634">
        <w:rPr>
          <w:rFonts w:ascii="Arial" w:hAnsi="Arial" w:cs="Arial"/>
          <w:sz w:val="20"/>
        </w:rPr>
        <w:t xml:space="preserve"> Ultra kit (Waters). In brief, samples were thawed at room temperature, and 50 µl sample was prepared by adding 25 µl internal standard solution and 150 µl methanol (-20 ˚C) to precipitate plasma proteins. Samples were vortex-mixed for 5 min and spun at 18,500 x g for 5 min at 4 ˚C. Derivatization of sample extracts </w:t>
      </w:r>
      <w:r w:rsidR="00387911" w:rsidRPr="00C02634">
        <w:rPr>
          <w:rFonts w:ascii="Arial" w:hAnsi="Arial" w:cs="Arial"/>
          <w:sz w:val="20"/>
        </w:rPr>
        <w:t>were</w:t>
      </w:r>
      <w:r w:rsidRPr="00C02634">
        <w:rPr>
          <w:rFonts w:ascii="Arial" w:hAnsi="Arial" w:cs="Arial"/>
          <w:sz w:val="20"/>
        </w:rPr>
        <w:t xml:space="preserve"> carried out by transferring 10 µl of the supernatant onto a 96 well plate containing 70 µl of </w:t>
      </w:r>
      <w:proofErr w:type="spellStart"/>
      <w:r w:rsidRPr="00C02634">
        <w:rPr>
          <w:rFonts w:ascii="Arial" w:hAnsi="Arial" w:cs="Arial"/>
          <w:sz w:val="20"/>
        </w:rPr>
        <w:t>AccQTag</w:t>
      </w:r>
      <w:proofErr w:type="spellEnd"/>
      <w:r w:rsidRPr="00C02634">
        <w:rPr>
          <w:rFonts w:ascii="Arial" w:hAnsi="Arial" w:cs="Arial"/>
          <w:sz w:val="20"/>
        </w:rPr>
        <w:t xml:space="preserve"> Ultra Borate Buffer, followed by an addition of 20 µl of </w:t>
      </w:r>
      <w:proofErr w:type="spellStart"/>
      <w:r w:rsidRPr="00C02634">
        <w:rPr>
          <w:rFonts w:ascii="Arial" w:hAnsi="Arial" w:cs="Arial"/>
          <w:sz w:val="20"/>
        </w:rPr>
        <w:t>AccQTag</w:t>
      </w:r>
      <w:proofErr w:type="spellEnd"/>
      <w:r w:rsidRPr="00C02634">
        <w:rPr>
          <w:rFonts w:ascii="Arial" w:hAnsi="Arial" w:cs="Arial"/>
          <w:sz w:val="20"/>
        </w:rPr>
        <w:t xml:space="preserve"> Ultra Derivatization Reagent. Samples were briefly mixed and heated to 55 ˚C for 10 minutes then transferred to the autosampler (4 ˚C) for injection. Analysis was performed using 2 µl derivatized sample on an Agilent 1290 ultra-high-performance liquid chromatography system (UHPLC) coupled to an Agilent G6490 Triple Quadrupole Mass Spectrometer (Agilent Technologies </w:t>
      </w:r>
      <w:r w:rsidRPr="00C02634">
        <w:rPr>
          <w:rFonts w:ascii="Arial" w:hAnsi="Arial" w:cs="Arial"/>
          <w:sz w:val="20"/>
          <w:shd w:val="clear" w:color="auto" w:fill="FFFFFF"/>
        </w:rPr>
        <w:t>Santa Clara, CA) run in dynamic Multiple-Reaction-Monitoring (</w:t>
      </w:r>
      <w:proofErr w:type="spellStart"/>
      <w:r w:rsidRPr="00C02634">
        <w:rPr>
          <w:rFonts w:ascii="Arial" w:hAnsi="Arial" w:cs="Arial"/>
          <w:sz w:val="20"/>
          <w:shd w:val="clear" w:color="auto" w:fill="FFFFFF"/>
        </w:rPr>
        <w:t>dMRM</w:t>
      </w:r>
      <w:proofErr w:type="spellEnd"/>
      <w:r w:rsidRPr="00C02634">
        <w:rPr>
          <w:rFonts w:ascii="Arial" w:hAnsi="Arial" w:cs="Arial"/>
          <w:sz w:val="20"/>
          <w:shd w:val="clear" w:color="auto" w:fill="FFFFFF"/>
        </w:rPr>
        <w:t>) mode</w:t>
      </w:r>
      <w:r w:rsidRPr="00C02634">
        <w:rPr>
          <w:rFonts w:ascii="Arial" w:hAnsi="Arial" w:cs="Arial"/>
          <w:sz w:val="20"/>
        </w:rPr>
        <w:t xml:space="preserve">. Analyte separation was achieved on an </w:t>
      </w:r>
      <w:proofErr w:type="spellStart"/>
      <w:r w:rsidRPr="00C02634">
        <w:rPr>
          <w:rFonts w:ascii="Arial" w:hAnsi="Arial" w:cs="Arial"/>
          <w:sz w:val="20"/>
        </w:rPr>
        <w:t>Acquity</w:t>
      </w:r>
      <w:proofErr w:type="spellEnd"/>
      <w:r w:rsidRPr="00C02634">
        <w:rPr>
          <w:rFonts w:ascii="Arial" w:hAnsi="Arial" w:cs="Arial"/>
          <w:sz w:val="20"/>
        </w:rPr>
        <w:t xml:space="preserve"> UPLC HSS T3, 1.8µm, 2.1 x 150mm (Waters) column using water and ACN both with 0.1% formic acid as mobile phases A and B, respectively. The chromatographic gradient is shown in </w:t>
      </w:r>
      <w:r w:rsidR="00AB5D25">
        <w:rPr>
          <w:rFonts w:ascii="Arial" w:hAnsi="Arial" w:cs="Arial"/>
          <w:b/>
          <w:sz w:val="20"/>
        </w:rPr>
        <w:t>Table S1</w:t>
      </w:r>
      <w:r w:rsidRPr="00C02634">
        <w:rPr>
          <w:rFonts w:ascii="Arial" w:hAnsi="Arial" w:cs="Arial"/>
          <w:sz w:val="20"/>
        </w:rPr>
        <w:t xml:space="preserve">. MS detection was carried out using electrospray ionization in positive ion mode. Information about the detection of analytes is shown </w:t>
      </w:r>
      <w:r w:rsidRPr="00C02634">
        <w:rPr>
          <w:rFonts w:ascii="Arial" w:hAnsi="Arial" w:cs="Arial"/>
          <w:sz w:val="20"/>
        </w:rPr>
        <w:lastRenderedPageBreak/>
        <w:t>in</w:t>
      </w:r>
      <w:r w:rsidRPr="00C02634">
        <w:rPr>
          <w:rFonts w:ascii="Arial" w:hAnsi="Arial" w:cs="Arial"/>
          <w:b/>
          <w:bCs/>
          <w:sz w:val="20"/>
        </w:rPr>
        <w:t xml:space="preserve"> </w:t>
      </w:r>
      <w:r w:rsidR="00E370E0">
        <w:rPr>
          <w:rFonts w:ascii="Arial" w:hAnsi="Arial" w:cs="Arial"/>
          <w:b/>
          <w:bCs/>
          <w:sz w:val="20"/>
        </w:rPr>
        <w:t>Supplemental</w:t>
      </w:r>
      <w:r w:rsidRPr="00C02634">
        <w:rPr>
          <w:rFonts w:ascii="Arial" w:hAnsi="Arial" w:cs="Arial"/>
          <w:b/>
          <w:bCs/>
          <w:sz w:val="20"/>
        </w:rPr>
        <w:t xml:space="preserve"> Table </w:t>
      </w:r>
      <w:r w:rsidR="00E370E0">
        <w:rPr>
          <w:rFonts w:ascii="Arial" w:hAnsi="Arial" w:cs="Arial"/>
          <w:b/>
          <w:bCs/>
          <w:sz w:val="20"/>
        </w:rPr>
        <w:t>8</w:t>
      </w:r>
      <w:r w:rsidRPr="00C02634">
        <w:rPr>
          <w:rFonts w:ascii="Arial" w:hAnsi="Arial" w:cs="Arial"/>
          <w:sz w:val="20"/>
        </w:rPr>
        <w:t xml:space="preserve">. Agilent </w:t>
      </w:r>
      <w:proofErr w:type="spellStart"/>
      <w:r w:rsidRPr="00C02634">
        <w:rPr>
          <w:rFonts w:ascii="Arial" w:hAnsi="Arial" w:cs="Arial"/>
          <w:sz w:val="20"/>
        </w:rPr>
        <w:t>MassHunter</w:t>
      </w:r>
      <w:proofErr w:type="spellEnd"/>
      <w:r w:rsidRPr="00C02634">
        <w:rPr>
          <w:rFonts w:ascii="Arial" w:hAnsi="Arial" w:cs="Arial"/>
          <w:sz w:val="20"/>
        </w:rPr>
        <w:t xml:space="preserve"> Quantitative Analysis software (version B.06.00) was used to quantify analytes based on area-under-the-response-curve. Stable isotope labeled internal standards were used for each analyte to account for variations in the matrix. Samples with analytes below the lowest calibration level standard were reported as 0.00 concentration. Samples with analytes above the highest calibration level standard were reanalyzed at an appropriate dilution using </w:t>
      </w:r>
      <w:proofErr w:type="spellStart"/>
      <w:proofErr w:type="gramStart"/>
      <w:r w:rsidRPr="00C02634">
        <w:rPr>
          <w:rFonts w:ascii="Arial" w:hAnsi="Arial" w:cs="Arial"/>
          <w:sz w:val="20"/>
        </w:rPr>
        <w:t>water:methanol</w:t>
      </w:r>
      <w:proofErr w:type="spellEnd"/>
      <w:proofErr w:type="gramEnd"/>
      <w:r w:rsidRPr="00C02634">
        <w:rPr>
          <w:rFonts w:ascii="Arial" w:hAnsi="Arial" w:cs="Arial"/>
          <w:sz w:val="20"/>
        </w:rPr>
        <w:t xml:space="preserve"> (1:1).</w:t>
      </w:r>
    </w:p>
    <w:p w14:paraId="440668E3" w14:textId="77777777" w:rsidR="00C02634" w:rsidRPr="00C02634" w:rsidRDefault="00C02634" w:rsidP="00C02634">
      <w:pPr>
        <w:spacing w:line="480" w:lineRule="auto"/>
        <w:contextualSpacing/>
        <w:jc w:val="both"/>
        <w:rPr>
          <w:rFonts w:ascii="Arial" w:hAnsi="Arial" w:cs="Arial"/>
          <w:sz w:val="20"/>
        </w:rPr>
      </w:pPr>
    </w:p>
    <w:p w14:paraId="44F29B11" w14:textId="170BD46F" w:rsidR="00C02634" w:rsidRPr="00C02634" w:rsidRDefault="00C02634" w:rsidP="00C02634">
      <w:pPr>
        <w:spacing w:line="480" w:lineRule="auto"/>
        <w:jc w:val="both"/>
        <w:rPr>
          <w:rFonts w:ascii="Arial" w:hAnsi="Arial" w:cs="Arial"/>
          <w:sz w:val="20"/>
        </w:rPr>
      </w:pPr>
      <w:r w:rsidRPr="00C02634">
        <w:rPr>
          <w:rFonts w:ascii="Arial" w:hAnsi="Arial" w:cs="Arial"/>
          <w:b/>
          <w:bCs/>
          <w:sz w:val="20"/>
        </w:rPr>
        <w:t>Triple Quadrupole LC-MS</w:t>
      </w:r>
      <w:r w:rsidR="00387911">
        <w:rPr>
          <w:rFonts w:ascii="Arial" w:hAnsi="Arial" w:cs="Arial"/>
          <w:b/>
          <w:bCs/>
          <w:sz w:val="20"/>
        </w:rPr>
        <w:t>/MS</w:t>
      </w:r>
      <w:r w:rsidRPr="00C02634">
        <w:rPr>
          <w:rFonts w:ascii="Arial" w:hAnsi="Arial" w:cs="Arial"/>
          <w:b/>
          <w:bCs/>
          <w:sz w:val="20"/>
        </w:rPr>
        <w:t xml:space="preserve"> Method for Quantitative Analysis of </w:t>
      </w:r>
      <w:proofErr w:type="spellStart"/>
      <w:r w:rsidRPr="00C02634">
        <w:rPr>
          <w:rFonts w:ascii="Arial" w:hAnsi="Arial" w:cs="Arial"/>
          <w:b/>
          <w:bCs/>
          <w:sz w:val="20"/>
        </w:rPr>
        <w:t>Unpolar</w:t>
      </w:r>
      <w:proofErr w:type="spellEnd"/>
      <w:r w:rsidRPr="00C02634">
        <w:rPr>
          <w:rFonts w:ascii="Arial" w:hAnsi="Arial" w:cs="Arial"/>
          <w:b/>
          <w:bCs/>
          <w:sz w:val="20"/>
        </w:rPr>
        <w:t xml:space="preserve"> Microbiome Metabolites</w:t>
      </w:r>
    </w:p>
    <w:p w14:paraId="2A33A369" w14:textId="5D9BD9BA" w:rsidR="00C02634" w:rsidRPr="00C02634" w:rsidRDefault="00C02634" w:rsidP="00C02634">
      <w:pPr>
        <w:autoSpaceDE w:val="0"/>
        <w:autoSpaceDN w:val="0"/>
        <w:adjustRightInd w:val="0"/>
        <w:spacing w:line="480" w:lineRule="auto"/>
        <w:jc w:val="both"/>
        <w:rPr>
          <w:rFonts w:ascii="Arial" w:hAnsi="Arial" w:cs="Arial"/>
          <w:sz w:val="20"/>
        </w:rPr>
      </w:pPr>
      <w:r w:rsidRPr="00C02634">
        <w:rPr>
          <w:rFonts w:ascii="Arial" w:hAnsi="Arial" w:cs="Arial"/>
          <w:sz w:val="20"/>
        </w:rPr>
        <w:t xml:space="preserve">Protein precipitation with cold methanol (-20 ˚C) was employed for all plasma, </w:t>
      </w:r>
      <w:proofErr w:type="gramStart"/>
      <w:r w:rsidRPr="00C02634">
        <w:rPr>
          <w:rFonts w:ascii="Arial" w:hAnsi="Arial" w:cs="Arial"/>
          <w:sz w:val="20"/>
        </w:rPr>
        <w:t>CAL</w:t>
      </w:r>
      <w:proofErr w:type="gramEnd"/>
      <w:r w:rsidRPr="00C02634">
        <w:rPr>
          <w:rFonts w:ascii="Arial" w:hAnsi="Arial" w:cs="Arial"/>
          <w:sz w:val="20"/>
        </w:rPr>
        <w:t xml:space="preserve"> and QC samples. Samples were thawed on ice, and 50 µl sample was used for the analysis. A 25 µl internal standard mix aliquot was added to the sample, and proteins were precipitated by addition of 150 µl MeOH (20 ˚C). Samples were vortex-mixed for 5 min followed by centrifugation at 18,500 x g for 5 min at 4 ˚C. A 100 </w:t>
      </w:r>
      <w:proofErr w:type="spellStart"/>
      <w:r w:rsidRPr="00C02634">
        <w:rPr>
          <w:rFonts w:ascii="Arial" w:hAnsi="Arial" w:cs="Arial"/>
          <w:sz w:val="20"/>
        </w:rPr>
        <w:t>ul</w:t>
      </w:r>
      <w:proofErr w:type="spellEnd"/>
      <w:r w:rsidRPr="00C02634">
        <w:rPr>
          <w:rFonts w:ascii="Arial" w:hAnsi="Arial" w:cs="Arial"/>
          <w:sz w:val="20"/>
        </w:rPr>
        <w:t xml:space="preserve"> aliquot of the supernatant was transferred to a 96well plate for injection (1-2 µl). Multiple reaction monitoring (MRM) analysis was performed on a liquid chromatography (LC) mass spectrometry (MS) system consisting of an Agilent 1290 ultra-high performance liquid chromatography system (UHPLC) coupled to an Agilent G6490 Triple Quadrupole Mass Spectrometer (Agilent Technologies </w:t>
      </w:r>
      <w:r w:rsidRPr="00C02634">
        <w:rPr>
          <w:rFonts w:ascii="Arial" w:hAnsi="Arial" w:cs="Arial"/>
          <w:sz w:val="20"/>
          <w:shd w:val="clear" w:color="auto" w:fill="FFFFFF"/>
        </w:rPr>
        <w:t>Santa Clara, CA)</w:t>
      </w:r>
      <w:r w:rsidRPr="00C02634">
        <w:rPr>
          <w:rFonts w:ascii="Arial" w:hAnsi="Arial" w:cs="Arial"/>
          <w:sz w:val="20"/>
        </w:rPr>
        <w:t xml:space="preserve">. Agilent </w:t>
      </w:r>
      <w:proofErr w:type="spellStart"/>
      <w:r w:rsidRPr="00C02634">
        <w:rPr>
          <w:rFonts w:ascii="Arial" w:hAnsi="Arial" w:cs="Arial"/>
          <w:sz w:val="20"/>
        </w:rPr>
        <w:t>MassHunter</w:t>
      </w:r>
      <w:proofErr w:type="spellEnd"/>
      <w:r w:rsidRPr="00C02634">
        <w:rPr>
          <w:rFonts w:ascii="Arial" w:hAnsi="Arial" w:cs="Arial"/>
          <w:sz w:val="20"/>
        </w:rPr>
        <w:t xml:space="preserve"> Quantitative Analysis software (version B.06.00) was used for the quantitative LC-MS data analysis. Chromatographic separation was performed using an </w:t>
      </w:r>
      <w:proofErr w:type="spellStart"/>
      <w:r w:rsidRPr="00C02634">
        <w:rPr>
          <w:rFonts w:ascii="Arial" w:hAnsi="Arial" w:cs="Arial"/>
          <w:sz w:val="20"/>
        </w:rPr>
        <w:t>Acquity</w:t>
      </w:r>
      <w:proofErr w:type="spellEnd"/>
      <w:r w:rsidRPr="00C02634">
        <w:rPr>
          <w:rFonts w:ascii="Arial" w:hAnsi="Arial" w:cs="Arial"/>
          <w:sz w:val="20"/>
        </w:rPr>
        <w:t xml:space="preserve"> UPLC BEH C18, 1.8µm, 2.1 x 100mm (Waters). Column temperature was maintained at 30 ˚C. The mobile phase was composed of A) 0.1% acetic acid in 5mM ammonium acetate and B) 0.1%</w:t>
      </w:r>
      <w:r w:rsidRPr="00C02634">
        <w:rPr>
          <w:rFonts w:ascii="Arial" w:hAnsi="Arial" w:cs="Arial"/>
          <w:sz w:val="20"/>
          <w:u w:val="single"/>
        </w:rPr>
        <w:t xml:space="preserve"> </w:t>
      </w:r>
      <w:r w:rsidRPr="00C02634">
        <w:rPr>
          <w:rFonts w:ascii="Arial" w:hAnsi="Arial" w:cs="Arial"/>
          <w:sz w:val="20"/>
        </w:rPr>
        <w:t xml:space="preserve">acetic acid in acetonitrile. The details for the stepped gradient elution are shown in </w:t>
      </w:r>
      <w:r w:rsidR="00E370E0">
        <w:rPr>
          <w:rFonts w:ascii="Arial" w:hAnsi="Arial" w:cs="Arial"/>
          <w:b/>
          <w:bCs/>
          <w:sz w:val="20"/>
        </w:rPr>
        <w:t>Supplemental</w:t>
      </w:r>
      <w:r w:rsidR="00E370E0" w:rsidRPr="00C02634">
        <w:rPr>
          <w:rFonts w:ascii="Arial" w:hAnsi="Arial" w:cs="Arial"/>
          <w:b/>
          <w:bCs/>
          <w:sz w:val="20"/>
        </w:rPr>
        <w:t xml:space="preserve"> Table </w:t>
      </w:r>
      <w:r w:rsidR="00E370E0">
        <w:rPr>
          <w:rFonts w:ascii="Arial" w:hAnsi="Arial" w:cs="Arial"/>
          <w:b/>
          <w:bCs/>
          <w:sz w:val="20"/>
        </w:rPr>
        <w:t>9</w:t>
      </w:r>
      <w:r w:rsidRPr="00C02634">
        <w:rPr>
          <w:rFonts w:ascii="Arial" w:hAnsi="Arial" w:cs="Arial"/>
          <w:sz w:val="20"/>
        </w:rPr>
        <w:t xml:space="preserve">. The six-minute chromatographic gradient ran at a flow rate of 0.3 ml / min, and MS detection was carried out using electrospray ionization in both positive and negative ion modes. Information about the detection of analytes is shown in </w:t>
      </w:r>
      <w:r w:rsidRPr="00C02634">
        <w:rPr>
          <w:rFonts w:ascii="Arial" w:hAnsi="Arial" w:cs="Arial"/>
          <w:b/>
          <w:sz w:val="20"/>
        </w:rPr>
        <w:t>SD Table 1</w:t>
      </w:r>
      <w:r w:rsidRPr="00C02634">
        <w:rPr>
          <w:rFonts w:ascii="Arial" w:hAnsi="Arial" w:cs="Arial"/>
          <w:sz w:val="20"/>
        </w:rPr>
        <w:t xml:space="preserve">. To account for matrix effects, stable isotope labeled (SIL) internal standards were used for each analyte. Samples with analytes below the lowest calibration level standard were reported as 0.00 </w:t>
      </w:r>
      <w:r w:rsidRPr="00C02634">
        <w:rPr>
          <w:rFonts w:ascii="Arial" w:hAnsi="Arial" w:cs="Arial"/>
          <w:sz w:val="20"/>
        </w:rPr>
        <w:lastRenderedPageBreak/>
        <w:t xml:space="preserve">concentration.  Samples with analytes above the highest calibration level standard were re-analyzed at an appropriate dilution using </w:t>
      </w:r>
      <w:proofErr w:type="spellStart"/>
      <w:proofErr w:type="gramStart"/>
      <w:r w:rsidRPr="00C02634">
        <w:rPr>
          <w:rFonts w:ascii="Arial" w:hAnsi="Arial" w:cs="Arial"/>
          <w:sz w:val="20"/>
        </w:rPr>
        <w:t>water:methanol</w:t>
      </w:r>
      <w:proofErr w:type="spellEnd"/>
      <w:proofErr w:type="gramEnd"/>
      <w:r w:rsidRPr="00C02634">
        <w:rPr>
          <w:rFonts w:ascii="Arial" w:hAnsi="Arial" w:cs="Arial"/>
          <w:sz w:val="20"/>
        </w:rPr>
        <w:t xml:space="preserve"> (50:50).</w:t>
      </w:r>
    </w:p>
    <w:p w14:paraId="1A10AA85" w14:textId="77777777" w:rsidR="00C02634" w:rsidRPr="00C02634" w:rsidRDefault="00C02634" w:rsidP="00C02634">
      <w:pPr>
        <w:spacing w:line="480" w:lineRule="auto"/>
        <w:ind w:left="720"/>
        <w:contextualSpacing/>
        <w:jc w:val="both"/>
        <w:rPr>
          <w:rFonts w:ascii="Arial" w:hAnsi="Arial" w:cs="Arial"/>
          <w:sz w:val="20"/>
        </w:rPr>
      </w:pPr>
    </w:p>
    <w:p w14:paraId="0C6A6CB6" w14:textId="4FBCE027" w:rsidR="00C02634" w:rsidRPr="00C02634" w:rsidRDefault="00C02634" w:rsidP="00C02634">
      <w:pPr>
        <w:spacing w:line="480" w:lineRule="auto"/>
        <w:jc w:val="both"/>
        <w:rPr>
          <w:rFonts w:ascii="Arial" w:hAnsi="Arial" w:cs="Arial"/>
          <w:sz w:val="20"/>
        </w:rPr>
      </w:pPr>
      <w:r w:rsidRPr="00C02634">
        <w:rPr>
          <w:rFonts w:ascii="Arial" w:hAnsi="Arial" w:cs="Arial"/>
          <w:b/>
          <w:bCs/>
          <w:sz w:val="20"/>
        </w:rPr>
        <w:t>Triple Quadrupole LC-MS</w:t>
      </w:r>
      <w:r w:rsidR="00476C80">
        <w:rPr>
          <w:rFonts w:ascii="Arial" w:hAnsi="Arial" w:cs="Arial"/>
          <w:b/>
          <w:bCs/>
          <w:sz w:val="20"/>
        </w:rPr>
        <w:t>/MS</w:t>
      </w:r>
      <w:r w:rsidRPr="00C02634">
        <w:rPr>
          <w:rFonts w:ascii="Arial" w:hAnsi="Arial" w:cs="Arial"/>
          <w:b/>
          <w:bCs/>
          <w:sz w:val="20"/>
        </w:rPr>
        <w:t xml:space="preserve"> Method for Quantitative Analysis of Plasma Organic Acid Metabolites</w:t>
      </w:r>
    </w:p>
    <w:p w14:paraId="69D94507" w14:textId="0210AADD" w:rsidR="00C02634" w:rsidRPr="00C02634" w:rsidRDefault="00C02634" w:rsidP="00C02634">
      <w:pPr>
        <w:autoSpaceDE w:val="0"/>
        <w:autoSpaceDN w:val="0"/>
        <w:adjustRightInd w:val="0"/>
        <w:spacing w:line="480" w:lineRule="auto"/>
        <w:jc w:val="both"/>
        <w:rPr>
          <w:rFonts w:ascii="Arial" w:hAnsi="Arial" w:cs="Arial"/>
          <w:sz w:val="20"/>
        </w:rPr>
      </w:pPr>
      <w:r w:rsidRPr="00C02634">
        <w:rPr>
          <w:rFonts w:ascii="Arial" w:hAnsi="Arial" w:cs="Arial"/>
          <w:sz w:val="20"/>
        </w:rPr>
        <w:t xml:space="preserve">Protein precipitation with cold methanol -20 ˚C was used for all plasma, </w:t>
      </w:r>
      <w:proofErr w:type="gramStart"/>
      <w:r w:rsidRPr="00C02634">
        <w:rPr>
          <w:rFonts w:ascii="Arial" w:hAnsi="Arial" w:cs="Arial"/>
          <w:sz w:val="20"/>
        </w:rPr>
        <w:t>CAL</w:t>
      </w:r>
      <w:proofErr w:type="gramEnd"/>
      <w:r w:rsidRPr="00C02634">
        <w:rPr>
          <w:rFonts w:ascii="Arial" w:hAnsi="Arial" w:cs="Arial"/>
          <w:sz w:val="20"/>
        </w:rPr>
        <w:t xml:space="preserve"> and QC samples. Samples were thawed on ice, and 50 µl sample was used for the analysis. A 25 µl internal standard mix aliquot was added to the sample and proteins were precipitated by addition of 150µl MeOH (-20 ˚C) and vortex-mixed for 5 min followed by centrifugation at 18,500 x g for 5 minutes at 4 ˚C. An aliquot of the supernatant (100 µl) was transferred to a 96well plate, and 1-2 µl was injected onto a </w:t>
      </w:r>
      <w:proofErr w:type="spellStart"/>
      <w:r w:rsidRPr="00C02634">
        <w:rPr>
          <w:rFonts w:ascii="Arial" w:hAnsi="Arial" w:cs="Arial"/>
          <w:sz w:val="20"/>
        </w:rPr>
        <w:t>Acquity</w:t>
      </w:r>
      <w:proofErr w:type="spellEnd"/>
      <w:r w:rsidRPr="00C02634">
        <w:rPr>
          <w:rFonts w:ascii="Arial" w:hAnsi="Arial" w:cs="Arial"/>
          <w:sz w:val="20"/>
        </w:rPr>
        <w:t xml:space="preserve"> UPLC HSS T3, 1.8μm, 2.1 x 150mm (Waters). Multiple reaction monitoring (MRM) analysis was performed on a liquid chromatography (LC) mass spectrometry (MS) system consisting of an Agilent 1290 ultra-high performance liquid chromatography system (UHPLC) coupled to an Agilent G6490 Triple Quadrupole Mass Spectrometer (Agilent Technologies </w:t>
      </w:r>
      <w:r w:rsidRPr="00C02634">
        <w:rPr>
          <w:rFonts w:ascii="Arial" w:hAnsi="Arial" w:cs="Arial"/>
          <w:sz w:val="20"/>
          <w:shd w:val="clear" w:color="auto" w:fill="FFFFFF"/>
        </w:rPr>
        <w:t>Santa Clara, CA)</w:t>
      </w:r>
      <w:r w:rsidRPr="00C02634">
        <w:rPr>
          <w:rFonts w:ascii="Arial" w:hAnsi="Arial" w:cs="Arial"/>
          <w:sz w:val="20"/>
        </w:rPr>
        <w:t xml:space="preserve">. Mobile phase A was 0.2% formic acid in water and mobile phase B was 0.2% formic acid in acetonitrile. A stepped gradient elution was performed as shown in </w:t>
      </w:r>
      <w:r w:rsidR="00E370E0">
        <w:rPr>
          <w:rFonts w:ascii="Arial" w:hAnsi="Arial" w:cs="Arial"/>
          <w:b/>
          <w:bCs/>
          <w:sz w:val="20"/>
        </w:rPr>
        <w:t>Supplemental</w:t>
      </w:r>
      <w:r w:rsidR="00E370E0" w:rsidRPr="00C02634">
        <w:rPr>
          <w:rFonts w:ascii="Arial" w:hAnsi="Arial" w:cs="Arial"/>
          <w:b/>
          <w:bCs/>
          <w:sz w:val="20"/>
        </w:rPr>
        <w:t xml:space="preserve"> Table </w:t>
      </w:r>
      <w:r w:rsidR="00E370E0">
        <w:rPr>
          <w:rFonts w:ascii="Arial" w:hAnsi="Arial" w:cs="Arial"/>
          <w:b/>
          <w:bCs/>
          <w:sz w:val="20"/>
        </w:rPr>
        <w:t>10</w:t>
      </w:r>
      <w:r w:rsidRPr="00C02634">
        <w:rPr>
          <w:rFonts w:ascii="Arial" w:hAnsi="Arial" w:cs="Arial"/>
          <w:b/>
          <w:bCs/>
          <w:sz w:val="20"/>
        </w:rPr>
        <w:t>.</w:t>
      </w:r>
      <w:r w:rsidRPr="00C02634">
        <w:rPr>
          <w:rFonts w:ascii="Arial" w:hAnsi="Arial" w:cs="Arial"/>
          <w:sz w:val="20"/>
        </w:rPr>
        <w:t xml:space="preserve"> of 0.35 ml / min.  The eight-minute chromatographic gradient ran at a flow rate of 0.35 ml / min with the column kept at 30 ˚C.  MS detection was carried out using electrospray ionization in both positive and negative ion modes.  Information about the detection of analytes is shown in </w:t>
      </w:r>
      <w:r w:rsidR="00E370E0">
        <w:rPr>
          <w:rFonts w:ascii="Arial" w:hAnsi="Arial" w:cs="Arial"/>
          <w:b/>
          <w:bCs/>
          <w:sz w:val="20"/>
        </w:rPr>
        <w:t>Supplemental</w:t>
      </w:r>
      <w:r w:rsidR="00C837A4" w:rsidRPr="00C02634">
        <w:rPr>
          <w:rFonts w:ascii="Arial" w:hAnsi="Arial" w:cs="Arial"/>
          <w:b/>
          <w:bCs/>
          <w:sz w:val="20"/>
        </w:rPr>
        <w:t xml:space="preserve"> Table 1</w:t>
      </w:r>
      <w:r w:rsidRPr="00C02634">
        <w:rPr>
          <w:rFonts w:ascii="Arial" w:hAnsi="Arial" w:cs="Arial"/>
          <w:sz w:val="20"/>
        </w:rPr>
        <w:t xml:space="preserve">.  To mitigate matrix effects, stable isotope labeled internal standards were used for each analyte. Agilent </w:t>
      </w:r>
      <w:proofErr w:type="spellStart"/>
      <w:r w:rsidRPr="00C02634">
        <w:rPr>
          <w:rFonts w:ascii="Arial" w:hAnsi="Arial" w:cs="Arial"/>
          <w:sz w:val="20"/>
        </w:rPr>
        <w:t>MassHunter</w:t>
      </w:r>
      <w:proofErr w:type="spellEnd"/>
      <w:r w:rsidRPr="00C02634">
        <w:rPr>
          <w:rFonts w:ascii="Arial" w:hAnsi="Arial" w:cs="Arial"/>
          <w:sz w:val="20"/>
        </w:rPr>
        <w:t xml:space="preserve"> Quantitative Analysis software (version B.06.00) was used to quantify analytes based on area-under-the-response-curve.  Samples with analytes below the lowest calibration level standard were reported as 0.00 concentration. Samples with analytes above the highest calibration level standard were re-analyzed at an appropriate dilution using </w:t>
      </w:r>
      <w:proofErr w:type="spellStart"/>
      <w:proofErr w:type="gramStart"/>
      <w:r w:rsidRPr="00C02634">
        <w:rPr>
          <w:rFonts w:ascii="Arial" w:hAnsi="Arial" w:cs="Arial"/>
          <w:sz w:val="20"/>
        </w:rPr>
        <w:t>water:methanol</w:t>
      </w:r>
      <w:proofErr w:type="spellEnd"/>
      <w:proofErr w:type="gramEnd"/>
      <w:r w:rsidRPr="00C02634">
        <w:rPr>
          <w:rFonts w:ascii="Arial" w:hAnsi="Arial" w:cs="Arial"/>
          <w:sz w:val="20"/>
        </w:rPr>
        <w:t xml:space="preserve"> (50:50).</w:t>
      </w:r>
    </w:p>
    <w:p w14:paraId="08CAAD74" w14:textId="118F2F43" w:rsidR="005D088E" w:rsidRPr="00DC623A" w:rsidRDefault="00C02634" w:rsidP="00615DFA">
      <w:pPr>
        <w:spacing w:after="160" w:line="480" w:lineRule="auto"/>
        <w:jc w:val="both"/>
        <w:rPr>
          <w:rFonts w:ascii="Arial" w:hAnsi="Arial" w:cs="Arial"/>
          <w:sz w:val="20"/>
        </w:rPr>
      </w:pPr>
      <w:r w:rsidRPr="00C02634">
        <w:rPr>
          <w:rFonts w:ascii="Arial" w:hAnsi="Arial" w:cs="Arial"/>
          <w:sz w:val="22"/>
          <w:szCs w:val="22"/>
        </w:rPr>
        <w:br w:type="page"/>
      </w:r>
    </w:p>
    <w:p w14:paraId="09C144E1" w14:textId="1B7EC21F" w:rsidR="00EE4D64" w:rsidRDefault="00EE4D64" w:rsidP="003C5344">
      <w:pPr>
        <w:pStyle w:val="SMHeading"/>
        <w:spacing w:line="480" w:lineRule="auto"/>
        <w:jc w:val="center"/>
        <w:rPr>
          <w:rFonts w:ascii="Arial" w:hAnsi="Arial" w:cs="Arial"/>
          <w:b w:val="0"/>
          <w:bCs w:val="0"/>
          <w:noProof/>
        </w:rPr>
      </w:pPr>
      <w:r>
        <w:rPr>
          <w:rFonts w:ascii="Arial" w:hAnsi="Arial" w:cs="Arial"/>
          <w:b w:val="0"/>
          <w:bCs w:val="0"/>
          <w:noProof/>
        </w:rPr>
        <w:lastRenderedPageBreak/>
        <w:drawing>
          <wp:inline distT="0" distB="0" distL="0" distR="0" wp14:anchorId="4EF6F261" wp14:editId="44B62A3A">
            <wp:extent cx="39624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0" cy="3962400"/>
                    </a:xfrm>
                    <a:prstGeom prst="rect">
                      <a:avLst/>
                    </a:prstGeom>
                    <a:noFill/>
                    <a:ln>
                      <a:noFill/>
                    </a:ln>
                  </pic:spPr>
                </pic:pic>
              </a:graphicData>
            </a:graphic>
          </wp:inline>
        </w:drawing>
      </w:r>
    </w:p>
    <w:p w14:paraId="419317AB" w14:textId="3F145302" w:rsidR="009A5287" w:rsidRPr="007575EF" w:rsidRDefault="007411A1" w:rsidP="0008231D">
      <w:pPr>
        <w:pStyle w:val="SMHeading"/>
        <w:spacing w:line="480" w:lineRule="auto"/>
        <w:rPr>
          <w:rFonts w:ascii="Arial" w:eastAsia="Calibri" w:hAnsi="Arial" w:cs="Arial"/>
          <w:b w:val="0"/>
          <w:bCs w:val="0"/>
          <w:sz w:val="20"/>
          <w:szCs w:val="20"/>
        </w:rPr>
      </w:pPr>
      <w:r w:rsidRPr="0008231D">
        <w:rPr>
          <w:rFonts w:ascii="Arial" w:hAnsi="Arial" w:cs="Arial"/>
          <w:sz w:val="20"/>
          <w:szCs w:val="20"/>
        </w:rPr>
        <w:t>Fig</w:t>
      </w:r>
      <w:r w:rsidR="00BB4365">
        <w:rPr>
          <w:rFonts w:ascii="Arial" w:hAnsi="Arial" w:cs="Arial"/>
          <w:sz w:val="20"/>
          <w:szCs w:val="20"/>
        </w:rPr>
        <w:t>ure</w:t>
      </w:r>
      <w:r w:rsidRPr="0008231D">
        <w:rPr>
          <w:rFonts w:ascii="Arial" w:hAnsi="Arial" w:cs="Arial"/>
          <w:sz w:val="20"/>
          <w:szCs w:val="20"/>
        </w:rPr>
        <w:t xml:space="preserve"> S1.</w:t>
      </w:r>
      <w:r w:rsidR="00B42F9C" w:rsidRPr="0008231D">
        <w:rPr>
          <w:rFonts w:ascii="Arial" w:hAnsi="Arial" w:cs="Arial"/>
          <w:sz w:val="20"/>
          <w:szCs w:val="20"/>
        </w:rPr>
        <w:t xml:space="preserve"> </w:t>
      </w:r>
      <w:r w:rsidR="00476C80" w:rsidRPr="007575EF">
        <w:rPr>
          <w:rFonts w:ascii="Arial" w:eastAsia="Calibri" w:hAnsi="Arial" w:cs="Arial"/>
          <w:b w:val="0"/>
          <w:bCs w:val="0"/>
          <w:sz w:val="20"/>
          <w:szCs w:val="20"/>
        </w:rPr>
        <w:t xml:space="preserve">Heatmap of the similarity of metabotype clusters based on the cooccurrence of participants displaying a metabotype cluster phenotype.  The cooccurrence is presented as the conditional probability </w:t>
      </w:r>
      <w:proofErr w:type="gramStart"/>
      <w:r w:rsidR="00476C80" w:rsidRPr="007575EF">
        <w:rPr>
          <w:rFonts w:ascii="Arial" w:eastAsia="Calibri" w:hAnsi="Arial" w:cs="Arial"/>
          <w:b w:val="0"/>
          <w:bCs w:val="0"/>
          <w:sz w:val="20"/>
          <w:szCs w:val="20"/>
        </w:rPr>
        <w:t>p(</w:t>
      </w:r>
      <w:proofErr w:type="gramEnd"/>
      <w:r w:rsidR="00476C80" w:rsidRPr="007575EF">
        <w:rPr>
          <w:rFonts w:ascii="Arial" w:eastAsia="Calibri" w:hAnsi="Arial" w:cs="Arial"/>
          <w:b w:val="0"/>
          <w:bCs w:val="0"/>
          <w:sz w:val="20"/>
          <w:szCs w:val="20"/>
        </w:rPr>
        <w:t>Column ∩ Row/Column) of exhibiting a metabotype cluster in the row given exhibiting the metabotype cluster in the column. The analysis provides a visualization for how frequently metabotype clusters phenotypes appear together and suggests complex metabolic phenotypes are present within some individuals. The color scale indicates the conditional probability. Clusters are ordered using hierarchical clustering to simplify the visualization.</w:t>
      </w:r>
    </w:p>
    <w:p w14:paraId="3A72AC60" w14:textId="64D8276B" w:rsidR="00BB4365" w:rsidRPr="00972020" w:rsidRDefault="00BB4365" w:rsidP="00615DFA">
      <w:pPr>
        <w:rPr>
          <w:rFonts w:ascii="Arial" w:eastAsia="Arial" w:hAnsi="Arial" w:cs="Arial"/>
          <w:sz w:val="20"/>
        </w:rPr>
      </w:pPr>
      <w:r>
        <w:rPr>
          <w:rFonts w:ascii="Arial" w:eastAsia="Calibri" w:hAnsi="Arial" w:cs="Arial"/>
          <w:b/>
          <w:bCs/>
          <w:sz w:val="20"/>
        </w:rPr>
        <w:br w:type="page"/>
      </w:r>
      <w:r w:rsidR="00A10B7F">
        <w:rPr>
          <w:rFonts w:ascii="Arial" w:eastAsia="Calibri" w:hAnsi="Arial" w:cs="Arial"/>
          <w:b/>
          <w:bCs/>
          <w:sz w:val="20"/>
        </w:rPr>
        <w:lastRenderedPageBreak/>
        <w:t xml:space="preserve">Supplemental </w:t>
      </w:r>
      <w:r w:rsidRPr="00A10B7F">
        <w:rPr>
          <w:rFonts w:ascii="Arial" w:hAnsi="Arial" w:cs="Arial"/>
          <w:b/>
          <w:bCs/>
          <w:sz w:val="20"/>
        </w:rPr>
        <w:t xml:space="preserve">Table </w:t>
      </w:r>
      <w:r w:rsidR="00A10B7F" w:rsidRPr="00A10B7F">
        <w:rPr>
          <w:rFonts w:ascii="Arial" w:hAnsi="Arial" w:cs="Arial"/>
          <w:b/>
          <w:bCs/>
          <w:sz w:val="20"/>
        </w:rPr>
        <w:t>8</w:t>
      </w:r>
      <w:r w:rsidRPr="00972020">
        <w:rPr>
          <w:rFonts w:ascii="Arial" w:hAnsi="Arial" w:cs="Arial"/>
          <w:sz w:val="20"/>
        </w:rPr>
        <w:t xml:space="preserve">. </w:t>
      </w:r>
      <w:r w:rsidRPr="00972020">
        <w:rPr>
          <w:rFonts w:ascii="Arial" w:eastAsia="Arial" w:hAnsi="Arial" w:cs="Arial"/>
          <w:sz w:val="20"/>
        </w:rPr>
        <w:t>Elution Gradient for the Amine Liquid Chromatography Method</w:t>
      </w:r>
    </w:p>
    <w:tbl>
      <w:tblPr>
        <w:tblW w:w="5660" w:type="dxa"/>
        <w:jc w:val="center"/>
        <w:tblLook w:val="04A0" w:firstRow="1" w:lastRow="0" w:firstColumn="1" w:lastColumn="0" w:noHBand="0" w:noVBand="1"/>
      </w:tblPr>
      <w:tblGrid>
        <w:gridCol w:w="1600"/>
        <w:gridCol w:w="1780"/>
        <w:gridCol w:w="1120"/>
        <w:gridCol w:w="1160"/>
      </w:tblGrid>
      <w:tr w:rsidR="009440A9" w:rsidRPr="00972020" w14:paraId="1918B724" w14:textId="77777777" w:rsidTr="000B7DDF">
        <w:trPr>
          <w:trHeight w:val="300"/>
          <w:jc w:val="center"/>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F99CE" w14:textId="77777777" w:rsidR="009440A9" w:rsidRPr="00972020" w:rsidRDefault="009440A9" w:rsidP="004C77E0">
            <w:pPr>
              <w:jc w:val="center"/>
              <w:rPr>
                <w:rFonts w:ascii="Arial" w:hAnsi="Arial" w:cs="Arial"/>
                <w:b/>
                <w:bCs/>
                <w:color w:val="000000"/>
                <w:sz w:val="20"/>
              </w:rPr>
            </w:pPr>
            <w:r w:rsidRPr="00972020">
              <w:rPr>
                <w:rFonts w:ascii="Arial" w:hAnsi="Arial" w:cs="Arial"/>
                <w:b/>
                <w:bCs/>
                <w:color w:val="000000"/>
                <w:sz w:val="20"/>
              </w:rPr>
              <w:t>Time (min)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01C4224" w14:textId="77777777" w:rsidR="009440A9" w:rsidRPr="00972020" w:rsidRDefault="009440A9" w:rsidP="004C77E0">
            <w:pPr>
              <w:jc w:val="center"/>
              <w:rPr>
                <w:rFonts w:ascii="Arial" w:hAnsi="Arial" w:cs="Arial"/>
                <w:b/>
                <w:bCs/>
                <w:color w:val="000000"/>
                <w:sz w:val="20"/>
              </w:rPr>
            </w:pPr>
            <w:r w:rsidRPr="00972020">
              <w:rPr>
                <w:rFonts w:ascii="Arial" w:hAnsi="Arial" w:cs="Arial"/>
                <w:b/>
                <w:bCs/>
                <w:color w:val="000000"/>
                <w:sz w:val="20"/>
              </w:rPr>
              <w:t>Flow (mL / min)</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14:paraId="57220B6F" w14:textId="77777777" w:rsidR="009440A9" w:rsidRPr="00972020" w:rsidRDefault="009440A9" w:rsidP="004C77E0">
            <w:pPr>
              <w:jc w:val="center"/>
              <w:rPr>
                <w:rFonts w:ascii="Arial" w:hAnsi="Arial" w:cs="Arial"/>
                <w:b/>
                <w:bCs/>
                <w:color w:val="000000"/>
                <w:sz w:val="20"/>
              </w:rPr>
            </w:pPr>
            <w:r w:rsidRPr="00972020">
              <w:rPr>
                <w:rFonts w:ascii="Arial" w:hAnsi="Arial" w:cs="Arial"/>
                <w:b/>
                <w:bCs/>
                <w:color w:val="000000"/>
                <w:sz w:val="20"/>
              </w:rPr>
              <w:t>% 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01D8F8B" w14:textId="77777777" w:rsidR="009440A9" w:rsidRPr="00972020" w:rsidRDefault="009440A9" w:rsidP="004C77E0">
            <w:pPr>
              <w:jc w:val="center"/>
              <w:rPr>
                <w:rFonts w:ascii="Arial" w:hAnsi="Arial" w:cs="Arial"/>
                <w:b/>
                <w:bCs/>
                <w:color w:val="000000"/>
                <w:sz w:val="20"/>
              </w:rPr>
            </w:pPr>
            <w:r w:rsidRPr="00972020">
              <w:rPr>
                <w:rFonts w:ascii="Arial" w:hAnsi="Arial" w:cs="Arial"/>
                <w:b/>
                <w:bCs/>
                <w:color w:val="000000"/>
                <w:sz w:val="20"/>
              </w:rPr>
              <w:t>% B</w:t>
            </w:r>
          </w:p>
        </w:tc>
      </w:tr>
      <w:tr w:rsidR="009440A9" w:rsidRPr="00972020" w14:paraId="7A568765"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436AC47"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w:t>
            </w:r>
          </w:p>
        </w:tc>
        <w:tc>
          <w:tcPr>
            <w:tcW w:w="1780" w:type="dxa"/>
            <w:tcBorders>
              <w:top w:val="nil"/>
              <w:left w:val="nil"/>
              <w:bottom w:val="single" w:sz="4" w:space="0" w:color="auto"/>
              <w:right w:val="single" w:sz="4" w:space="0" w:color="auto"/>
            </w:tcBorders>
            <w:shd w:val="clear" w:color="auto" w:fill="auto"/>
            <w:noWrap/>
            <w:vAlign w:val="bottom"/>
            <w:hideMark/>
          </w:tcPr>
          <w:p w14:paraId="207C1595"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5354BD49"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95.5</w:t>
            </w:r>
          </w:p>
        </w:tc>
        <w:tc>
          <w:tcPr>
            <w:tcW w:w="1160" w:type="dxa"/>
            <w:tcBorders>
              <w:top w:val="nil"/>
              <w:left w:val="nil"/>
              <w:bottom w:val="single" w:sz="4" w:space="0" w:color="auto"/>
              <w:right w:val="single" w:sz="4" w:space="0" w:color="auto"/>
            </w:tcBorders>
            <w:shd w:val="clear" w:color="auto" w:fill="auto"/>
            <w:noWrap/>
            <w:vAlign w:val="bottom"/>
            <w:hideMark/>
          </w:tcPr>
          <w:p w14:paraId="74EE7049"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4.5</w:t>
            </w:r>
          </w:p>
        </w:tc>
      </w:tr>
      <w:tr w:rsidR="009440A9" w:rsidRPr="00972020" w14:paraId="673D6D78"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49516AA"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2.5</w:t>
            </w:r>
          </w:p>
        </w:tc>
        <w:tc>
          <w:tcPr>
            <w:tcW w:w="1780" w:type="dxa"/>
            <w:tcBorders>
              <w:top w:val="nil"/>
              <w:left w:val="nil"/>
              <w:bottom w:val="single" w:sz="4" w:space="0" w:color="auto"/>
              <w:right w:val="single" w:sz="4" w:space="0" w:color="auto"/>
            </w:tcBorders>
            <w:shd w:val="clear" w:color="auto" w:fill="auto"/>
            <w:noWrap/>
            <w:vAlign w:val="bottom"/>
            <w:hideMark/>
          </w:tcPr>
          <w:p w14:paraId="46936407"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1F714C71"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90</w:t>
            </w:r>
          </w:p>
        </w:tc>
        <w:tc>
          <w:tcPr>
            <w:tcW w:w="1160" w:type="dxa"/>
            <w:tcBorders>
              <w:top w:val="nil"/>
              <w:left w:val="nil"/>
              <w:bottom w:val="single" w:sz="4" w:space="0" w:color="auto"/>
              <w:right w:val="single" w:sz="4" w:space="0" w:color="auto"/>
            </w:tcBorders>
            <w:shd w:val="clear" w:color="auto" w:fill="auto"/>
            <w:noWrap/>
            <w:vAlign w:val="bottom"/>
            <w:hideMark/>
          </w:tcPr>
          <w:p w14:paraId="588E541B"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10</w:t>
            </w:r>
          </w:p>
        </w:tc>
      </w:tr>
      <w:tr w:rsidR="009440A9" w:rsidRPr="00972020" w14:paraId="6BFFFFE9"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A9D7062"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5</w:t>
            </w:r>
          </w:p>
        </w:tc>
        <w:tc>
          <w:tcPr>
            <w:tcW w:w="1780" w:type="dxa"/>
            <w:tcBorders>
              <w:top w:val="nil"/>
              <w:left w:val="nil"/>
              <w:bottom w:val="single" w:sz="4" w:space="0" w:color="auto"/>
              <w:right w:val="single" w:sz="4" w:space="0" w:color="auto"/>
            </w:tcBorders>
            <w:shd w:val="clear" w:color="auto" w:fill="auto"/>
            <w:noWrap/>
            <w:vAlign w:val="bottom"/>
            <w:hideMark/>
          </w:tcPr>
          <w:p w14:paraId="44ED26A2"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58EFF62F"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72</w:t>
            </w:r>
          </w:p>
        </w:tc>
        <w:tc>
          <w:tcPr>
            <w:tcW w:w="1160" w:type="dxa"/>
            <w:tcBorders>
              <w:top w:val="nil"/>
              <w:left w:val="nil"/>
              <w:bottom w:val="single" w:sz="4" w:space="0" w:color="auto"/>
              <w:right w:val="single" w:sz="4" w:space="0" w:color="auto"/>
            </w:tcBorders>
            <w:shd w:val="clear" w:color="auto" w:fill="auto"/>
            <w:noWrap/>
            <w:vAlign w:val="bottom"/>
            <w:hideMark/>
          </w:tcPr>
          <w:p w14:paraId="08C4410B"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28</w:t>
            </w:r>
          </w:p>
        </w:tc>
      </w:tr>
      <w:tr w:rsidR="009440A9" w:rsidRPr="00972020" w14:paraId="33E6ED3D"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57098155"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5.1</w:t>
            </w:r>
          </w:p>
        </w:tc>
        <w:tc>
          <w:tcPr>
            <w:tcW w:w="1780" w:type="dxa"/>
            <w:tcBorders>
              <w:top w:val="nil"/>
              <w:left w:val="nil"/>
              <w:bottom w:val="single" w:sz="4" w:space="0" w:color="auto"/>
              <w:right w:val="single" w:sz="4" w:space="0" w:color="auto"/>
            </w:tcBorders>
            <w:shd w:val="clear" w:color="auto" w:fill="auto"/>
            <w:noWrap/>
            <w:vAlign w:val="bottom"/>
            <w:hideMark/>
          </w:tcPr>
          <w:p w14:paraId="22B3851A"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5C060D83"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4.5</w:t>
            </w:r>
          </w:p>
        </w:tc>
        <w:tc>
          <w:tcPr>
            <w:tcW w:w="1160" w:type="dxa"/>
            <w:tcBorders>
              <w:top w:val="nil"/>
              <w:left w:val="nil"/>
              <w:bottom w:val="single" w:sz="4" w:space="0" w:color="auto"/>
              <w:right w:val="single" w:sz="4" w:space="0" w:color="auto"/>
            </w:tcBorders>
            <w:shd w:val="clear" w:color="auto" w:fill="auto"/>
            <w:noWrap/>
            <w:vAlign w:val="bottom"/>
            <w:hideMark/>
          </w:tcPr>
          <w:p w14:paraId="6F4136F9"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95.5</w:t>
            </w:r>
          </w:p>
        </w:tc>
      </w:tr>
      <w:tr w:rsidR="009440A9" w:rsidRPr="00972020" w14:paraId="41B20C3D"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3D27FD86"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6.2</w:t>
            </w:r>
          </w:p>
        </w:tc>
        <w:tc>
          <w:tcPr>
            <w:tcW w:w="1780" w:type="dxa"/>
            <w:tcBorders>
              <w:top w:val="nil"/>
              <w:left w:val="nil"/>
              <w:bottom w:val="single" w:sz="4" w:space="0" w:color="auto"/>
              <w:right w:val="single" w:sz="4" w:space="0" w:color="auto"/>
            </w:tcBorders>
            <w:shd w:val="clear" w:color="auto" w:fill="auto"/>
            <w:noWrap/>
            <w:vAlign w:val="bottom"/>
            <w:hideMark/>
          </w:tcPr>
          <w:p w14:paraId="4235D8A5"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26C4F90D"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4.5</w:t>
            </w:r>
          </w:p>
        </w:tc>
        <w:tc>
          <w:tcPr>
            <w:tcW w:w="1160" w:type="dxa"/>
            <w:tcBorders>
              <w:top w:val="nil"/>
              <w:left w:val="nil"/>
              <w:bottom w:val="single" w:sz="4" w:space="0" w:color="auto"/>
              <w:right w:val="single" w:sz="4" w:space="0" w:color="auto"/>
            </w:tcBorders>
            <w:shd w:val="clear" w:color="auto" w:fill="auto"/>
            <w:noWrap/>
            <w:vAlign w:val="bottom"/>
            <w:hideMark/>
          </w:tcPr>
          <w:p w14:paraId="6D9329A8"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95.5</w:t>
            </w:r>
          </w:p>
        </w:tc>
      </w:tr>
      <w:tr w:rsidR="009440A9" w:rsidRPr="00972020" w14:paraId="7C0ED567"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68C63E3"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6.21</w:t>
            </w:r>
          </w:p>
        </w:tc>
        <w:tc>
          <w:tcPr>
            <w:tcW w:w="1780" w:type="dxa"/>
            <w:tcBorders>
              <w:top w:val="nil"/>
              <w:left w:val="nil"/>
              <w:bottom w:val="single" w:sz="4" w:space="0" w:color="auto"/>
              <w:right w:val="single" w:sz="4" w:space="0" w:color="auto"/>
            </w:tcBorders>
            <w:shd w:val="clear" w:color="auto" w:fill="auto"/>
            <w:noWrap/>
            <w:vAlign w:val="bottom"/>
            <w:hideMark/>
          </w:tcPr>
          <w:p w14:paraId="32E0F29A"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7AC7D070"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95.5</w:t>
            </w:r>
          </w:p>
        </w:tc>
        <w:tc>
          <w:tcPr>
            <w:tcW w:w="1160" w:type="dxa"/>
            <w:tcBorders>
              <w:top w:val="nil"/>
              <w:left w:val="nil"/>
              <w:bottom w:val="single" w:sz="4" w:space="0" w:color="auto"/>
              <w:right w:val="single" w:sz="4" w:space="0" w:color="auto"/>
            </w:tcBorders>
            <w:shd w:val="clear" w:color="auto" w:fill="auto"/>
            <w:noWrap/>
            <w:vAlign w:val="bottom"/>
            <w:hideMark/>
          </w:tcPr>
          <w:p w14:paraId="5E94585D"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4.5</w:t>
            </w:r>
          </w:p>
        </w:tc>
      </w:tr>
      <w:tr w:rsidR="009440A9" w:rsidRPr="00972020" w14:paraId="780A1593" w14:textId="77777777" w:rsidTr="000B7DDF">
        <w:trPr>
          <w:trHeight w:val="300"/>
          <w:jc w:val="center"/>
        </w:trPr>
        <w:tc>
          <w:tcPr>
            <w:tcW w:w="1600" w:type="dxa"/>
            <w:tcBorders>
              <w:top w:val="nil"/>
              <w:left w:val="single" w:sz="4" w:space="0" w:color="auto"/>
              <w:bottom w:val="single" w:sz="4" w:space="0" w:color="auto"/>
              <w:right w:val="single" w:sz="4" w:space="0" w:color="auto"/>
            </w:tcBorders>
            <w:shd w:val="clear" w:color="auto" w:fill="auto"/>
            <w:noWrap/>
            <w:vAlign w:val="bottom"/>
            <w:hideMark/>
          </w:tcPr>
          <w:p w14:paraId="601DC6A7"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7.5</w:t>
            </w:r>
          </w:p>
        </w:tc>
        <w:tc>
          <w:tcPr>
            <w:tcW w:w="1780" w:type="dxa"/>
            <w:tcBorders>
              <w:top w:val="nil"/>
              <w:left w:val="nil"/>
              <w:bottom w:val="single" w:sz="4" w:space="0" w:color="auto"/>
              <w:right w:val="single" w:sz="4" w:space="0" w:color="auto"/>
            </w:tcBorders>
            <w:shd w:val="clear" w:color="auto" w:fill="auto"/>
            <w:noWrap/>
            <w:vAlign w:val="bottom"/>
            <w:hideMark/>
          </w:tcPr>
          <w:p w14:paraId="715AE6C8"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0.6</w:t>
            </w:r>
          </w:p>
        </w:tc>
        <w:tc>
          <w:tcPr>
            <w:tcW w:w="1120" w:type="dxa"/>
            <w:tcBorders>
              <w:top w:val="nil"/>
              <w:left w:val="nil"/>
              <w:bottom w:val="single" w:sz="4" w:space="0" w:color="auto"/>
              <w:right w:val="single" w:sz="4" w:space="0" w:color="auto"/>
            </w:tcBorders>
            <w:shd w:val="clear" w:color="auto" w:fill="auto"/>
            <w:noWrap/>
            <w:vAlign w:val="bottom"/>
            <w:hideMark/>
          </w:tcPr>
          <w:p w14:paraId="475478FF"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95.5</w:t>
            </w:r>
          </w:p>
        </w:tc>
        <w:tc>
          <w:tcPr>
            <w:tcW w:w="1160" w:type="dxa"/>
            <w:tcBorders>
              <w:top w:val="nil"/>
              <w:left w:val="nil"/>
              <w:bottom w:val="single" w:sz="4" w:space="0" w:color="auto"/>
              <w:right w:val="single" w:sz="4" w:space="0" w:color="auto"/>
            </w:tcBorders>
            <w:shd w:val="clear" w:color="auto" w:fill="auto"/>
            <w:noWrap/>
            <w:vAlign w:val="bottom"/>
            <w:hideMark/>
          </w:tcPr>
          <w:p w14:paraId="0EB2AFAC" w14:textId="77777777" w:rsidR="009440A9" w:rsidRPr="00972020" w:rsidRDefault="009440A9" w:rsidP="004C77E0">
            <w:pPr>
              <w:jc w:val="center"/>
              <w:rPr>
                <w:rFonts w:ascii="Arial" w:hAnsi="Arial" w:cs="Arial"/>
                <w:color w:val="000000"/>
                <w:sz w:val="20"/>
              </w:rPr>
            </w:pPr>
            <w:r w:rsidRPr="00972020">
              <w:rPr>
                <w:rFonts w:ascii="Arial" w:hAnsi="Arial" w:cs="Arial"/>
                <w:color w:val="000000"/>
                <w:sz w:val="20"/>
              </w:rPr>
              <w:t>4.5</w:t>
            </w:r>
          </w:p>
        </w:tc>
      </w:tr>
    </w:tbl>
    <w:p w14:paraId="2CDC212F" w14:textId="07D36516" w:rsidR="009440A9" w:rsidRPr="00972020" w:rsidRDefault="009440A9" w:rsidP="00615DFA">
      <w:pPr>
        <w:rPr>
          <w:rFonts w:ascii="Arial" w:eastAsia="Arial" w:hAnsi="Arial" w:cs="Arial"/>
          <w:b/>
          <w:sz w:val="20"/>
        </w:rPr>
      </w:pPr>
      <w:r w:rsidRPr="00972020">
        <w:rPr>
          <w:rFonts w:ascii="Arial" w:hAnsi="Arial" w:cs="Arial"/>
          <w:sz w:val="20"/>
        </w:rPr>
        <w:br w:type="page"/>
      </w:r>
      <w:r w:rsidR="00A10B7F">
        <w:rPr>
          <w:rFonts w:ascii="Arial" w:eastAsia="Calibri" w:hAnsi="Arial" w:cs="Arial"/>
          <w:b/>
          <w:bCs/>
          <w:sz w:val="20"/>
        </w:rPr>
        <w:lastRenderedPageBreak/>
        <w:t xml:space="preserve">Supplemental </w:t>
      </w:r>
      <w:r w:rsidR="00A10B7F" w:rsidRPr="00A10B7F">
        <w:rPr>
          <w:rFonts w:ascii="Arial" w:hAnsi="Arial" w:cs="Arial"/>
          <w:b/>
          <w:bCs/>
          <w:sz w:val="20"/>
        </w:rPr>
        <w:t xml:space="preserve">Table </w:t>
      </w:r>
      <w:r w:rsidR="00A10B7F">
        <w:rPr>
          <w:rFonts w:ascii="Arial" w:hAnsi="Arial" w:cs="Arial"/>
          <w:b/>
          <w:bCs/>
          <w:sz w:val="20"/>
        </w:rPr>
        <w:t>9</w:t>
      </w:r>
      <w:r w:rsidRPr="00972020">
        <w:rPr>
          <w:rFonts w:ascii="Arial" w:hAnsi="Arial" w:cs="Arial"/>
          <w:sz w:val="20"/>
        </w:rPr>
        <w:t xml:space="preserve">. </w:t>
      </w:r>
      <w:r w:rsidRPr="00972020">
        <w:rPr>
          <w:rFonts w:ascii="Arial" w:eastAsia="Arial" w:hAnsi="Arial" w:cs="Arial"/>
          <w:b/>
          <w:sz w:val="20"/>
        </w:rPr>
        <w:t>Elution Gradient for the Plasma Organic Acid Liquid Chromatography Method</w:t>
      </w:r>
    </w:p>
    <w:tbl>
      <w:tblPr>
        <w:tblW w:w="6220" w:type="dxa"/>
        <w:jc w:val="center"/>
        <w:tblLook w:val="04A0" w:firstRow="1" w:lastRow="0" w:firstColumn="1" w:lastColumn="0" w:noHBand="0" w:noVBand="1"/>
      </w:tblPr>
      <w:tblGrid>
        <w:gridCol w:w="2040"/>
        <w:gridCol w:w="1780"/>
        <w:gridCol w:w="1200"/>
        <w:gridCol w:w="1200"/>
      </w:tblGrid>
      <w:tr w:rsidR="009440A9" w:rsidRPr="009440A9" w14:paraId="54CD71BC" w14:textId="77777777" w:rsidTr="000B7DDF">
        <w:trPr>
          <w:trHeight w:val="300"/>
          <w:jc w:val="center"/>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55DD6" w14:textId="77777777" w:rsidR="009440A9" w:rsidRPr="009440A9" w:rsidRDefault="009440A9" w:rsidP="009440A9">
            <w:pPr>
              <w:jc w:val="center"/>
              <w:rPr>
                <w:rFonts w:ascii="Arial" w:hAnsi="Arial" w:cs="Arial"/>
                <w:b/>
                <w:bCs/>
                <w:color w:val="000000"/>
                <w:sz w:val="20"/>
              </w:rPr>
            </w:pPr>
            <w:r w:rsidRPr="009440A9">
              <w:rPr>
                <w:rFonts w:ascii="Arial" w:hAnsi="Arial" w:cs="Arial"/>
                <w:b/>
                <w:bCs/>
                <w:color w:val="000000"/>
                <w:sz w:val="20"/>
              </w:rPr>
              <w:t>Time (min)</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1D3D9F9B" w14:textId="77777777" w:rsidR="009440A9" w:rsidRPr="009440A9" w:rsidRDefault="009440A9" w:rsidP="009440A9">
            <w:pPr>
              <w:jc w:val="center"/>
              <w:rPr>
                <w:rFonts w:ascii="Arial" w:hAnsi="Arial" w:cs="Arial"/>
                <w:b/>
                <w:bCs/>
                <w:color w:val="000000"/>
                <w:sz w:val="20"/>
              </w:rPr>
            </w:pPr>
            <w:r w:rsidRPr="009440A9">
              <w:rPr>
                <w:rFonts w:ascii="Arial" w:hAnsi="Arial" w:cs="Arial"/>
                <w:b/>
                <w:bCs/>
                <w:color w:val="000000"/>
                <w:sz w:val="20"/>
              </w:rPr>
              <w:t>Flow (mL / min)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020AE03" w14:textId="77777777" w:rsidR="009440A9" w:rsidRPr="009440A9" w:rsidRDefault="009440A9" w:rsidP="009440A9">
            <w:pPr>
              <w:jc w:val="center"/>
              <w:rPr>
                <w:rFonts w:ascii="Arial" w:hAnsi="Arial" w:cs="Arial"/>
                <w:b/>
                <w:bCs/>
                <w:color w:val="000000"/>
                <w:sz w:val="20"/>
              </w:rPr>
            </w:pPr>
            <w:r w:rsidRPr="009440A9">
              <w:rPr>
                <w:rFonts w:ascii="Arial" w:hAnsi="Arial" w:cs="Arial"/>
                <w:b/>
                <w:bCs/>
                <w:color w:val="000000"/>
                <w:sz w:val="20"/>
              </w:rPr>
              <w:t>% A</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60C0857A" w14:textId="77777777" w:rsidR="009440A9" w:rsidRPr="009440A9" w:rsidRDefault="009440A9" w:rsidP="009440A9">
            <w:pPr>
              <w:jc w:val="center"/>
              <w:rPr>
                <w:rFonts w:ascii="Arial" w:hAnsi="Arial" w:cs="Arial"/>
                <w:b/>
                <w:bCs/>
                <w:color w:val="000000"/>
                <w:sz w:val="20"/>
              </w:rPr>
            </w:pPr>
            <w:r w:rsidRPr="009440A9">
              <w:rPr>
                <w:rFonts w:ascii="Arial" w:hAnsi="Arial" w:cs="Arial"/>
                <w:b/>
                <w:bCs/>
                <w:color w:val="000000"/>
                <w:sz w:val="20"/>
              </w:rPr>
              <w:t>% B</w:t>
            </w:r>
          </w:p>
        </w:tc>
      </w:tr>
      <w:tr w:rsidR="009440A9" w:rsidRPr="009440A9" w14:paraId="0F68B6BE"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68912005"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w:t>
            </w:r>
          </w:p>
        </w:tc>
        <w:tc>
          <w:tcPr>
            <w:tcW w:w="1780" w:type="dxa"/>
            <w:tcBorders>
              <w:top w:val="nil"/>
              <w:left w:val="nil"/>
              <w:bottom w:val="single" w:sz="4" w:space="0" w:color="auto"/>
              <w:right w:val="single" w:sz="4" w:space="0" w:color="auto"/>
            </w:tcBorders>
            <w:shd w:val="clear" w:color="auto" w:fill="auto"/>
            <w:noWrap/>
            <w:vAlign w:val="bottom"/>
            <w:hideMark/>
          </w:tcPr>
          <w:p w14:paraId="22866125"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18498F8D"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3</w:t>
            </w:r>
          </w:p>
        </w:tc>
        <w:tc>
          <w:tcPr>
            <w:tcW w:w="1200" w:type="dxa"/>
            <w:tcBorders>
              <w:top w:val="nil"/>
              <w:left w:val="nil"/>
              <w:bottom w:val="single" w:sz="4" w:space="0" w:color="auto"/>
              <w:right w:val="single" w:sz="4" w:space="0" w:color="auto"/>
            </w:tcBorders>
            <w:shd w:val="clear" w:color="auto" w:fill="auto"/>
            <w:noWrap/>
            <w:vAlign w:val="bottom"/>
            <w:hideMark/>
          </w:tcPr>
          <w:p w14:paraId="5914D629"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97</w:t>
            </w:r>
          </w:p>
        </w:tc>
      </w:tr>
      <w:tr w:rsidR="009440A9" w:rsidRPr="009440A9" w14:paraId="6FBFD689"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3F375451"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3.5</w:t>
            </w:r>
          </w:p>
        </w:tc>
        <w:tc>
          <w:tcPr>
            <w:tcW w:w="1780" w:type="dxa"/>
            <w:tcBorders>
              <w:top w:val="nil"/>
              <w:left w:val="nil"/>
              <w:bottom w:val="single" w:sz="4" w:space="0" w:color="auto"/>
              <w:right w:val="single" w:sz="4" w:space="0" w:color="auto"/>
            </w:tcBorders>
            <w:shd w:val="clear" w:color="auto" w:fill="auto"/>
            <w:noWrap/>
            <w:vAlign w:val="bottom"/>
            <w:hideMark/>
          </w:tcPr>
          <w:p w14:paraId="48AA713B"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4DC6BB0D"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3</w:t>
            </w:r>
          </w:p>
        </w:tc>
        <w:tc>
          <w:tcPr>
            <w:tcW w:w="1200" w:type="dxa"/>
            <w:tcBorders>
              <w:top w:val="nil"/>
              <w:left w:val="nil"/>
              <w:bottom w:val="single" w:sz="4" w:space="0" w:color="auto"/>
              <w:right w:val="single" w:sz="4" w:space="0" w:color="auto"/>
            </w:tcBorders>
            <w:shd w:val="clear" w:color="auto" w:fill="auto"/>
            <w:noWrap/>
            <w:vAlign w:val="bottom"/>
            <w:hideMark/>
          </w:tcPr>
          <w:p w14:paraId="5C02BAA9"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97</w:t>
            </w:r>
          </w:p>
        </w:tc>
      </w:tr>
      <w:tr w:rsidR="009440A9" w:rsidRPr="009440A9" w14:paraId="509FA7A8"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2D962A40"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4.5</w:t>
            </w:r>
          </w:p>
        </w:tc>
        <w:tc>
          <w:tcPr>
            <w:tcW w:w="1780" w:type="dxa"/>
            <w:tcBorders>
              <w:top w:val="nil"/>
              <w:left w:val="nil"/>
              <w:bottom w:val="single" w:sz="4" w:space="0" w:color="auto"/>
              <w:right w:val="single" w:sz="4" w:space="0" w:color="auto"/>
            </w:tcBorders>
            <w:shd w:val="clear" w:color="auto" w:fill="auto"/>
            <w:noWrap/>
            <w:vAlign w:val="bottom"/>
            <w:hideMark/>
          </w:tcPr>
          <w:p w14:paraId="74DFA30D"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427F26B4"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60</w:t>
            </w:r>
          </w:p>
        </w:tc>
        <w:tc>
          <w:tcPr>
            <w:tcW w:w="1200" w:type="dxa"/>
            <w:tcBorders>
              <w:top w:val="nil"/>
              <w:left w:val="nil"/>
              <w:bottom w:val="single" w:sz="4" w:space="0" w:color="auto"/>
              <w:right w:val="single" w:sz="4" w:space="0" w:color="auto"/>
            </w:tcBorders>
            <w:shd w:val="clear" w:color="auto" w:fill="auto"/>
            <w:noWrap/>
            <w:vAlign w:val="bottom"/>
            <w:hideMark/>
          </w:tcPr>
          <w:p w14:paraId="22FCA055"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40</w:t>
            </w:r>
          </w:p>
        </w:tc>
      </w:tr>
      <w:tr w:rsidR="009440A9" w:rsidRPr="009440A9" w14:paraId="5C2CB527"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17EFBC83"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5.5</w:t>
            </w:r>
          </w:p>
        </w:tc>
        <w:tc>
          <w:tcPr>
            <w:tcW w:w="1780" w:type="dxa"/>
            <w:tcBorders>
              <w:top w:val="nil"/>
              <w:left w:val="nil"/>
              <w:bottom w:val="single" w:sz="4" w:space="0" w:color="auto"/>
              <w:right w:val="single" w:sz="4" w:space="0" w:color="auto"/>
            </w:tcBorders>
            <w:shd w:val="clear" w:color="auto" w:fill="auto"/>
            <w:noWrap/>
            <w:vAlign w:val="bottom"/>
            <w:hideMark/>
          </w:tcPr>
          <w:p w14:paraId="631FB751"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52C89470"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60</w:t>
            </w:r>
          </w:p>
        </w:tc>
        <w:tc>
          <w:tcPr>
            <w:tcW w:w="1200" w:type="dxa"/>
            <w:tcBorders>
              <w:top w:val="nil"/>
              <w:left w:val="nil"/>
              <w:bottom w:val="single" w:sz="4" w:space="0" w:color="auto"/>
              <w:right w:val="single" w:sz="4" w:space="0" w:color="auto"/>
            </w:tcBorders>
            <w:shd w:val="clear" w:color="auto" w:fill="auto"/>
            <w:noWrap/>
            <w:vAlign w:val="bottom"/>
            <w:hideMark/>
          </w:tcPr>
          <w:p w14:paraId="73F369BF"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40</w:t>
            </w:r>
          </w:p>
        </w:tc>
      </w:tr>
      <w:tr w:rsidR="009440A9" w:rsidRPr="009440A9" w14:paraId="4D25D997"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3A2E813E"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5.6</w:t>
            </w:r>
          </w:p>
        </w:tc>
        <w:tc>
          <w:tcPr>
            <w:tcW w:w="1780" w:type="dxa"/>
            <w:tcBorders>
              <w:top w:val="nil"/>
              <w:left w:val="nil"/>
              <w:bottom w:val="single" w:sz="4" w:space="0" w:color="auto"/>
              <w:right w:val="single" w:sz="4" w:space="0" w:color="auto"/>
            </w:tcBorders>
            <w:shd w:val="clear" w:color="auto" w:fill="auto"/>
            <w:noWrap/>
            <w:vAlign w:val="bottom"/>
            <w:hideMark/>
          </w:tcPr>
          <w:p w14:paraId="25210CD4"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7FF5EAAB"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3</w:t>
            </w:r>
          </w:p>
        </w:tc>
        <w:tc>
          <w:tcPr>
            <w:tcW w:w="1200" w:type="dxa"/>
            <w:tcBorders>
              <w:top w:val="nil"/>
              <w:left w:val="nil"/>
              <w:bottom w:val="single" w:sz="4" w:space="0" w:color="auto"/>
              <w:right w:val="single" w:sz="4" w:space="0" w:color="auto"/>
            </w:tcBorders>
            <w:shd w:val="clear" w:color="auto" w:fill="auto"/>
            <w:noWrap/>
            <w:vAlign w:val="bottom"/>
            <w:hideMark/>
          </w:tcPr>
          <w:p w14:paraId="1838912B"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97</w:t>
            </w:r>
          </w:p>
        </w:tc>
      </w:tr>
      <w:tr w:rsidR="009440A9" w:rsidRPr="009440A9" w14:paraId="7D99F4CA" w14:textId="77777777" w:rsidTr="000B7DDF">
        <w:trPr>
          <w:trHeight w:val="300"/>
          <w:jc w:val="center"/>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14:paraId="40194DD2"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8</w:t>
            </w:r>
          </w:p>
        </w:tc>
        <w:tc>
          <w:tcPr>
            <w:tcW w:w="1780" w:type="dxa"/>
            <w:tcBorders>
              <w:top w:val="nil"/>
              <w:left w:val="nil"/>
              <w:bottom w:val="single" w:sz="4" w:space="0" w:color="auto"/>
              <w:right w:val="single" w:sz="4" w:space="0" w:color="auto"/>
            </w:tcBorders>
            <w:shd w:val="clear" w:color="auto" w:fill="auto"/>
            <w:noWrap/>
            <w:vAlign w:val="bottom"/>
            <w:hideMark/>
          </w:tcPr>
          <w:p w14:paraId="25CB5492"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0.35</w:t>
            </w:r>
          </w:p>
        </w:tc>
        <w:tc>
          <w:tcPr>
            <w:tcW w:w="1200" w:type="dxa"/>
            <w:tcBorders>
              <w:top w:val="nil"/>
              <w:left w:val="nil"/>
              <w:bottom w:val="single" w:sz="4" w:space="0" w:color="auto"/>
              <w:right w:val="single" w:sz="4" w:space="0" w:color="auto"/>
            </w:tcBorders>
            <w:shd w:val="clear" w:color="auto" w:fill="auto"/>
            <w:noWrap/>
            <w:vAlign w:val="bottom"/>
            <w:hideMark/>
          </w:tcPr>
          <w:p w14:paraId="0478325E"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3</w:t>
            </w:r>
          </w:p>
        </w:tc>
        <w:tc>
          <w:tcPr>
            <w:tcW w:w="1200" w:type="dxa"/>
            <w:tcBorders>
              <w:top w:val="nil"/>
              <w:left w:val="nil"/>
              <w:bottom w:val="single" w:sz="4" w:space="0" w:color="auto"/>
              <w:right w:val="single" w:sz="4" w:space="0" w:color="auto"/>
            </w:tcBorders>
            <w:shd w:val="clear" w:color="auto" w:fill="auto"/>
            <w:noWrap/>
            <w:vAlign w:val="bottom"/>
            <w:hideMark/>
          </w:tcPr>
          <w:p w14:paraId="12310503" w14:textId="77777777" w:rsidR="009440A9" w:rsidRPr="009440A9" w:rsidRDefault="009440A9" w:rsidP="009440A9">
            <w:pPr>
              <w:jc w:val="center"/>
              <w:rPr>
                <w:rFonts w:ascii="Arial" w:hAnsi="Arial" w:cs="Arial"/>
                <w:color w:val="000000"/>
                <w:sz w:val="20"/>
              </w:rPr>
            </w:pPr>
            <w:r w:rsidRPr="009440A9">
              <w:rPr>
                <w:rFonts w:ascii="Arial" w:hAnsi="Arial" w:cs="Arial"/>
                <w:color w:val="000000"/>
                <w:sz w:val="20"/>
              </w:rPr>
              <w:t>97</w:t>
            </w:r>
          </w:p>
        </w:tc>
      </w:tr>
    </w:tbl>
    <w:p w14:paraId="07830058" w14:textId="36DAD820" w:rsidR="009440A9" w:rsidRPr="00972020" w:rsidRDefault="009440A9" w:rsidP="009440A9">
      <w:pPr>
        <w:spacing w:line="480" w:lineRule="auto"/>
        <w:jc w:val="both"/>
        <w:rPr>
          <w:rFonts w:ascii="Arial" w:eastAsia="Arial" w:hAnsi="Arial" w:cs="Arial"/>
          <w:b/>
          <w:sz w:val="20"/>
        </w:rPr>
      </w:pPr>
    </w:p>
    <w:p w14:paraId="34787299" w14:textId="285B2E87" w:rsidR="009440A9" w:rsidRPr="00972020" w:rsidRDefault="009440A9" w:rsidP="00615DFA">
      <w:pPr>
        <w:rPr>
          <w:rFonts w:ascii="Arial" w:eastAsia="Arial" w:hAnsi="Arial" w:cs="Arial"/>
          <w:b/>
          <w:sz w:val="20"/>
        </w:rPr>
      </w:pPr>
      <w:r w:rsidRPr="00972020">
        <w:rPr>
          <w:rFonts w:ascii="Arial" w:eastAsia="Arial" w:hAnsi="Arial" w:cs="Arial"/>
          <w:b/>
          <w:sz w:val="20"/>
        </w:rPr>
        <w:br w:type="page"/>
      </w:r>
      <w:r w:rsidR="00A10B7F">
        <w:rPr>
          <w:rFonts w:ascii="Arial" w:eastAsia="Calibri" w:hAnsi="Arial" w:cs="Arial"/>
          <w:b/>
          <w:bCs/>
          <w:sz w:val="20"/>
        </w:rPr>
        <w:lastRenderedPageBreak/>
        <w:t xml:space="preserve">Supplemental </w:t>
      </w:r>
      <w:r w:rsidR="00A10B7F" w:rsidRPr="00A10B7F">
        <w:rPr>
          <w:rFonts w:ascii="Arial" w:hAnsi="Arial" w:cs="Arial"/>
          <w:b/>
          <w:bCs/>
          <w:sz w:val="20"/>
        </w:rPr>
        <w:t xml:space="preserve">Table </w:t>
      </w:r>
      <w:r w:rsidR="00A10B7F">
        <w:rPr>
          <w:rFonts w:ascii="Arial" w:hAnsi="Arial" w:cs="Arial"/>
          <w:b/>
          <w:bCs/>
          <w:sz w:val="20"/>
        </w:rPr>
        <w:t>10</w:t>
      </w:r>
      <w:r w:rsidRPr="00972020">
        <w:rPr>
          <w:rFonts w:ascii="Arial" w:hAnsi="Arial" w:cs="Arial"/>
          <w:sz w:val="20"/>
        </w:rPr>
        <w:t xml:space="preserve">. </w:t>
      </w:r>
      <w:r w:rsidR="00972020" w:rsidRPr="00972020">
        <w:rPr>
          <w:rFonts w:ascii="Arial" w:eastAsia="Arial" w:hAnsi="Arial" w:cs="Arial"/>
          <w:b/>
          <w:sz w:val="20"/>
        </w:rPr>
        <w:t xml:space="preserve">Elution Gradient for the </w:t>
      </w:r>
      <w:proofErr w:type="spellStart"/>
      <w:r w:rsidR="00972020" w:rsidRPr="00972020">
        <w:rPr>
          <w:rFonts w:ascii="Arial" w:eastAsia="Arial" w:hAnsi="Arial" w:cs="Arial"/>
          <w:b/>
          <w:sz w:val="20"/>
        </w:rPr>
        <w:t>Unpolar</w:t>
      </w:r>
      <w:proofErr w:type="spellEnd"/>
      <w:r w:rsidR="00972020" w:rsidRPr="00972020">
        <w:rPr>
          <w:rFonts w:ascii="Arial" w:eastAsia="Arial" w:hAnsi="Arial" w:cs="Arial"/>
          <w:b/>
          <w:sz w:val="20"/>
        </w:rPr>
        <w:t xml:space="preserve"> and Microbiome Liquid Chromatography Method</w:t>
      </w:r>
    </w:p>
    <w:tbl>
      <w:tblPr>
        <w:tblW w:w="0" w:type="auto"/>
        <w:jc w:val="center"/>
        <w:tblLayout w:type="fixed"/>
        <w:tblLook w:val="0000" w:firstRow="0" w:lastRow="0" w:firstColumn="0" w:lastColumn="0" w:noHBand="0" w:noVBand="0"/>
      </w:tblPr>
      <w:tblGrid>
        <w:gridCol w:w="1380"/>
        <w:gridCol w:w="1980"/>
        <w:gridCol w:w="1350"/>
        <w:gridCol w:w="2070"/>
      </w:tblGrid>
      <w:tr w:rsidR="009440A9" w:rsidRPr="00972020" w14:paraId="53676C89"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654FBA69" w14:textId="77777777" w:rsidR="009440A9" w:rsidRPr="00972020" w:rsidRDefault="009440A9">
            <w:pPr>
              <w:autoSpaceDE w:val="0"/>
              <w:autoSpaceDN w:val="0"/>
              <w:adjustRightInd w:val="0"/>
              <w:jc w:val="center"/>
              <w:rPr>
                <w:rFonts w:ascii="Arial" w:hAnsi="Arial" w:cs="Arial"/>
                <w:b/>
                <w:bCs/>
                <w:color w:val="000000"/>
                <w:sz w:val="20"/>
              </w:rPr>
            </w:pPr>
            <w:r w:rsidRPr="00972020">
              <w:rPr>
                <w:rFonts w:ascii="Arial" w:hAnsi="Arial" w:cs="Arial"/>
                <w:b/>
                <w:bCs/>
                <w:color w:val="000000"/>
                <w:sz w:val="20"/>
              </w:rPr>
              <w:t>Time (min)</w:t>
            </w:r>
          </w:p>
        </w:tc>
        <w:tc>
          <w:tcPr>
            <w:tcW w:w="1980" w:type="dxa"/>
            <w:tcBorders>
              <w:top w:val="single" w:sz="6" w:space="0" w:color="auto"/>
              <w:left w:val="single" w:sz="6" w:space="0" w:color="auto"/>
              <w:bottom w:val="single" w:sz="6" w:space="0" w:color="auto"/>
              <w:right w:val="single" w:sz="6" w:space="0" w:color="auto"/>
            </w:tcBorders>
          </w:tcPr>
          <w:p w14:paraId="3EAF48E1" w14:textId="77777777" w:rsidR="009440A9" w:rsidRPr="00972020" w:rsidRDefault="009440A9">
            <w:pPr>
              <w:autoSpaceDE w:val="0"/>
              <w:autoSpaceDN w:val="0"/>
              <w:adjustRightInd w:val="0"/>
              <w:jc w:val="center"/>
              <w:rPr>
                <w:rFonts w:ascii="Arial" w:hAnsi="Arial" w:cs="Arial"/>
                <w:b/>
                <w:bCs/>
                <w:color w:val="000000"/>
                <w:sz w:val="20"/>
              </w:rPr>
            </w:pPr>
            <w:r w:rsidRPr="00972020">
              <w:rPr>
                <w:rFonts w:ascii="Arial" w:hAnsi="Arial" w:cs="Arial"/>
                <w:b/>
                <w:bCs/>
                <w:color w:val="000000"/>
                <w:sz w:val="20"/>
              </w:rPr>
              <w:t>Flow (mL / min)</w:t>
            </w:r>
          </w:p>
        </w:tc>
        <w:tc>
          <w:tcPr>
            <w:tcW w:w="1350" w:type="dxa"/>
            <w:tcBorders>
              <w:top w:val="single" w:sz="6" w:space="0" w:color="auto"/>
              <w:left w:val="single" w:sz="6" w:space="0" w:color="auto"/>
              <w:bottom w:val="single" w:sz="6" w:space="0" w:color="auto"/>
              <w:right w:val="single" w:sz="6" w:space="0" w:color="auto"/>
            </w:tcBorders>
          </w:tcPr>
          <w:p w14:paraId="658BA771" w14:textId="77777777" w:rsidR="009440A9" w:rsidRPr="00972020" w:rsidRDefault="009440A9">
            <w:pPr>
              <w:autoSpaceDE w:val="0"/>
              <w:autoSpaceDN w:val="0"/>
              <w:adjustRightInd w:val="0"/>
              <w:jc w:val="center"/>
              <w:rPr>
                <w:rFonts w:ascii="Arial" w:hAnsi="Arial" w:cs="Arial"/>
                <w:b/>
                <w:bCs/>
                <w:color w:val="000000"/>
                <w:sz w:val="20"/>
              </w:rPr>
            </w:pPr>
            <w:r w:rsidRPr="00972020">
              <w:rPr>
                <w:rFonts w:ascii="Arial" w:hAnsi="Arial" w:cs="Arial"/>
                <w:b/>
                <w:bCs/>
                <w:color w:val="000000"/>
                <w:sz w:val="20"/>
              </w:rPr>
              <w:t>% A</w:t>
            </w:r>
          </w:p>
        </w:tc>
        <w:tc>
          <w:tcPr>
            <w:tcW w:w="2070" w:type="dxa"/>
            <w:tcBorders>
              <w:top w:val="single" w:sz="6" w:space="0" w:color="auto"/>
              <w:left w:val="single" w:sz="6" w:space="0" w:color="auto"/>
              <w:bottom w:val="single" w:sz="6" w:space="0" w:color="auto"/>
              <w:right w:val="single" w:sz="6" w:space="0" w:color="auto"/>
            </w:tcBorders>
          </w:tcPr>
          <w:p w14:paraId="39A393BC" w14:textId="77777777" w:rsidR="009440A9" w:rsidRPr="00972020" w:rsidRDefault="009440A9">
            <w:pPr>
              <w:autoSpaceDE w:val="0"/>
              <w:autoSpaceDN w:val="0"/>
              <w:adjustRightInd w:val="0"/>
              <w:jc w:val="center"/>
              <w:rPr>
                <w:rFonts w:ascii="Arial" w:hAnsi="Arial" w:cs="Arial"/>
                <w:b/>
                <w:bCs/>
                <w:color w:val="000000"/>
                <w:sz w:val="20"/>
              </w:rPr>
            </w:pPr>
            <w:r w:rsidRPr="00972020">
              <w:rPr>
                <w:rFonts w:ascii="Arial" w:hAnsi="Arial" w:cs="Arial"/>
                <w:b/>
                <w:bCs/>
                <w:color w:val="000000"/>
                <w:sz w:val="20"/>
              </w:rPr>
              <w:t>% B</w:t>
            </w:r>
          </w:p>
        </w:tc>
      </w:tr>
      <w:tr w:rsidR="009440A9" w:rsidRPr="00972020" w14:paraId="55D99B28"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41BBAA6C"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w:t>
            </w:r>
          </w:p>
        </w:tc>
        <w:tc>
          <w:tcPr>
            <w:tcW w:w="1980" w:type="dxa"/>
            <w:tcBorders>
              <w:top w:val="single" w:sz="6" w:space="0" w:color="auto"/>
              <w:left w:val="single" w:sz="6" w:space="0" w:color="auto"/>
              <w:bottom w:val="single" w:sz="6" w:space="0" w:color="auto"/>
              <w:right w:val="single" w:sz="6" w:space="0" w:color="auto"/>
            </w:tcBorders>
          </w:tcPr>
          <w:p w14:paraId="5785C53A"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0.3</w:t>
            </w:r>
          </w:p>
        </w:tc>
        <w:tc>
          <w:tcPr>
            <w:tcW w:w="1350" w:type="dxa"/>
            <w:tcBorders>
              <w:top w:val="single" w:sz="6" w:space="0" w:color="auto"/>
              <w:left w:val="single" w:sz="6" w:space="0" w:color="auto"/>
              <w:bottom w:val="single" w:sz="6" w:space="0" w:color="auto"/>
              <w:right w:val="single" w:sz="6" w:space="0" w:color="auto"/>
            </w:tcBorders>
          </w:tcPr>
          <w:p w14:paraId="41EC33A9"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90</w:t>
            </w:r>
          </w:p>
        </w:tc>
        <w:tc>
          <w:tcPr>
            <w:tcW w:w="2070" w:type="dxa"/>
            <w:tcBorders>
              <w:top w:val="single" w:sz="6" w:space="0" w:color="auto"/>
              <w:left w:val="single" w:sz="6" w:space="0" w:color="auto"/>
              <w:bottom w:val="single" w:sz="6" w:space="0" w:color="auto"/>
              <w:right w:val="single" w:sz="6" w:space="0" w:color="auto"/>
            </w:tcBorders>
          </w:tcPr>
          <w:p w14:paraId="1D86C253"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10</w:t>
            </w:r>
          </w:p>
        </w:tc>
      </w:tr>
      <w:tr w:rsidR="009440A9" w:rsidRPr="00972020" w14:paraId="56D75F03"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18221F6E"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4</w:t>
            </w:r>
          </w:p>
        </w:tc>
        <w:tc>
          <w:tcPr>
            <w:tcW w:w="1980" w:type="dxa"/>
            <w:tcBorders>
              <w:top w:val="single" w:sz="6" w:space="0" w:color="auto"/>
              <w:left w:val="single" w:sz="6" w:space="0" w:color="auto"/>
              <w:bottom w:val="single" w:sz="6" w:space="0" w:color="auto"/>
              <w:right w:val="single" w:sz="6" w:space="0" w:color="auto"/>
            </w:tcBorders>
          </w:tcPr>
          <w:p w14:paraId="701C86E4"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0.3</w:t>
            </w:r>
          </w:p>
        </w:tc>
        <w:tc>
          <w:tcPr>
            <w:tcW w:w="1350" w:type="dxa"/>
            <w:tcBorders>
              <w:top w:val="single" w:sz="6" w:space="0" w:color="auto"/>
              <w:left w:val="single" w:sz="6" w:space="0" w:color="auto"/>
              <w:bottom w:val="single" w:sz="6" w:space="0" w:color="auto"/>
              <w:right w:val="single" w:sz="6" w:space="0" w:color="auto"/>
            </w:tcBorders>
          </w:tcPr>
          <w:p w14:paraId="116FC10E"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w:t>
            </w:r>
          </w:p>
        </w:tc>
        <w:tc>
          <w:tcPr>
            <w:tcW w:w="2070" w:type="dxa"/>
            <w:tcBorders>
              <w:top w:val="single" w:sz="6" w:space="0" w:color="auto"/>
              <w:left w:val="single" w:sz="6" w:space="0" w:color="auto"/>
              <w:bottom w:val="single" w:sz="6" w:space="0" w:color="auto"/>
              <w:right w:val="single" w:sz="6" w:space="0" w:color="auto"/>
            </w:tcBorders>
          </w:tcPr>
          <w:p w14:paraId="074E030B"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100</w:t>
            </w:r>
          </w:p>
        </w:tc>
      </w:tr>
      <w:tr w:rsidR="009440A9" w:rsidRPr="00972020" w14:paraId="3F95EBB2"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1F64E1C4"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5</w:t>
            </w:r>
          </w:p>
        </w:tc>
        <w:tc>
          <w:tcPr>
            <w:tcW w:w="1980" w:type="dxa"/>
            <w:tcBorders>
              <w:top w:val="single" w:sz="6" w:space="0" w:color="auto"/>
              <w:left w:val="single" w:sz="6" w:space="0" w:color="auto"/>
              <w:bottom w:val="single" w:sz="6" w:space="0" w:color="auto"/>
              <w:right w:val="single" w:sz="6" w:space="0" w:color="auto"/>
            </w:tcBorders>
          </w:tcPr>
          <w:p w14:paraId="7C35D05A"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0.3</w:t>
            </w:r>
          </w:p>
        </w:tc>
        <w:tc>
          <w:tcPr>
            <w:tcW w:w="1350" w:type="dxa"/>
            <w:tcBorders>
              <w:top w:val="single" w:sz="6" w:space="0" w:color="auto"/>
              <w:left w:val="single" w:sz="6" w:space="0" w:color="auto"/>
              <w:bottom w:val="single" w:sz="6" w:space="0" w:color="auto"/>
              <w:right w:val="single" w:sz="6" w:space="0" w:color="auto"/>
            </w:tcBorders>
          </w:tcPr>
          <w:p w14:paraId="3786F6B8"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w:t>
            </w:r>
          </w:p>
        </w:tc>
        <w:tc>
          <w:tcPr>
            <w:tcW w:w="2070" w:type="dxa"/>
            <w:tcBorders>
              <w:top w:val="single" w:sz="6" w:space="0" w:color="auto"/>
              <w:left w:val="single" w:sz="6" w:space="0" w:color="auto"/>
              <w:bottom w:val="single" w:sz="6" w:space="0" w:color="auto"/>
              <w:right w:val="single" w:sz="6" w:space="0" w:color="auto"/>
            </w:tcBorders>
          </w:tcPr>
          <w:p w14:paraId="4FB3CB95"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100</w:t>
            </w:r>
          </w:p>
        </w:tc>
      </w:tr>
      <w:tr w:rsidR="009440A9" w:rsidRPr="00972020" w14:paraId="0EF40558"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757FD9F6"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5.1</w:t>
            </w:r>
          </w:p>
        </w:tc>
        <w:tc>
          <w:tcPr>
            <w:tcW w:w="1980" w:type="dxa"/>
            <w:tcBorders>
              <w:top w:val="single" w:sz="6" w:space="0" w:color="auto"/>
              <w:left w:val="single" w:sz="6" w:space="0" w:color="auto"/>
              <w:bottom w:val="single" w:sz="6" w:space="0" w:color="auto"/>
              <w:right w:val="single" w:sz="6" w:space="0" w:color="auto"/>
            </w:tcBorders>
          </w:tcPr>
          <w:p w14:paraId="44D9AB74"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0.3</w:t>
            </w:r>
          </w:p>
        </w:tc>
        <w:tc>
          <w:tcPr>
            <w:tcW w:w="1350" w:type="dxa"/>
            <w:tcBorders>
              <w:top w:val="single" w:sz="6" w:space="0" w:color="auto"/>
              <w:left w:val="single" w:sz="6" w:space="0" w:color="auto"/>
              <w:bottom w:val="single" w:sz="6" w:space="0" w:color="auto"/>
              <w:right w:val="single" w:sz="6" w:space="0" w:color="auto"/>
            </w:tcBorders>
          </w:tcPr>
          <w:p w14:paraId="6D9348FF"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90</w:t>
            </w:r>
          </w:p>
        </w:tc>
        <w:tc>
          <w:tcPr>
            <w:tcW w:w="2070" w:type="dxa"/>
            <w:tcBorders>
              <w:top w:val="single" w:sz="6" w:space="0" w:color="auto"/>
              <w:left w:val="single" w:sz="6" w:space="0" w:color="auto"/>
              <w:bottom w:val="single" w:sz="6" w:space="0" w:color="auto"/>
              <w:right w:val="single" w:sz="6" w:space="0" w:color="auto"/>
            </w:tcBorders>
          </w:tcPr>
          <w:p w14:paraId="46643FE5"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10</w:t>
            </w:r>
          </w:p>
        </w:tc>
      </w:tr>
      <w:tr w:rsidR="009440A9" w:rsidRPr="00972020" w14:paraId="32B48144" w14:textId="77777777" w:rsidTr="000B7DDF">
        <w:trPr>
          <w:trHeight w:val="285"/>
          <w:jc w:val="center"/>
        </w:trPr>
        <w:tc>
          <w:tcPr>
            <w:tcW w:w="1380" w:type="dxa"/>
            <w:tcBorders>
              <w:top w:val="single" w:sz="6" w:space="0" w:color="auto"/>
              <w:left w:val="single" w:sz="6" w:space="0" w:color="auto"/>
              <w:bottom w:val="single" w:sz="6" w:space="0" w:color="auto"/>
              <w:right w:val="single" w:sz="6" w:space="0" w:color="auto"/>
            </w:tcBorders>
          </w:tcPr>
          <w:p w14:paraId="427DA994"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6</w:t>
            </w:r>
          </w:p>
        </w:tc>
        <w:tc>
          <w:tcPr>
            <w:tcW w:w="1980" w:type="dxa"/>
            <w:tcBorders>
              <w:top w:val="single" w:sz="6" w:space="0" w:color="auto"/>
              <w:left w:val="single" w:sz="6" w:space="0" w:color="auto"/>
              <w:bottom w:val="single" w:sz="6" w:space="0" w:color="auto"/>
              <w:right w:val="single" w:sz="6" w:space="0" w:color="auto"/>
            </w:tcBorders>
          </w:tcPr>
          <w:p w14:paraId="69DF7DD6"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0.3</w:t>
            </w:r>
          </w:p>
        </w:tc>
        <w:tc>
          <w:tcPr>
            <w:tcW w:w="1350" w:type="dxa"/>
            <w:tcBorders>
              <w:top w:val="single" w:sz="6" w:space="0" w:color="auto"/>
              <w:left w:val="single" w:sz="6" w:space="0" w:color="auto"/>
              <w:bottom w:val="single" w:sz="6" w:space="0" w:color="auto"/>
              <w:right w:val="single" w:sz="6" w:space="0" w:color="auto"/>
            </w:tcBorders>
          </w:tcPr>
          <w:p w14:paraId="3DEB6A3C"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90</w:t>
            </w:r>
          </w:p>
        </w:tc>
        <w:tc>
          <w:tcPr>
            <w:tcW w:w="2070" w:type="dxa"/>
            <w:tcBorders>
              <w:top w:val="single" w:sz="6" w:space="0" w:color="auto"/>
              <w:left w:val="single" w:sz="6" w:space="0" w:color="auto"/>
              <w:bottom w:val="single" w:sz="6" w:space="0" w:color="auto"/>
              <w:right w:val="single" w:sz="6" w:space="0" w:color="auto"/>
            </w:tcBorders>
          </w:tcPr>
          <w:p w14:paraId="0B57646E" w14:textId="77777777" w:rsidR="009440A9" w:rsidRPr="00972020" w:rsidRDefault="009440A9">
            <w:pPr>
              <w:autoSpaceDE w:val="0"/>
              <w:autoSpaceDN w:val="0"/>
              <w:adjustRightInd w:val="0"/>
              <w:jc w:val="center"/>
              <w:rPr>
                <w:rFonts w:ascii="Arial" w:hAnsi="Arial" w:cs="Arial"/>
                <w:color w:val="000000"/>
                <w:sz w:val="20"/>
              </w:rPr>
            </w:pPr>
            <w:r w:rsidRPr="00972020">
              <w:rPr>
                <w:rFonts w:ascii="Arial" w:hAnsi="Arial" w:cs="Arial"/>
                <w:color w:val="000000"/>
                <w:sz w:val="20"/>
              </w:rPr>
              <w:t>10</w:t>
            </w:r>
          </w:p>
        </w:tc>
      </w:tr>
    </w:tbl>
    <w:p w14:paraId="507052BA" w14:textId="77777777" w:rsidR="009440A9" w:rsidRPr="00972020" w:rsidRDefault="009440A9" w:rsidP="009440A9">
      <w:pPr>
        <w:spacing w:line="480" w:lineRule="auto"/>
        <w:jc w:val="both"/>
        <w:rPr>
          <w:rFonts w:ascii="Arial" w:eastAsia="Arial" w:hAnsi="Arial" w:cs="Arial"/>
          <w:b/>
          <w:sz w:val="20"/>
        </w:rPr>
      </w:pPr>
    </w:p>
    <w:p w14:paraId="60B95DD9" w14:textId="13F1E045" w:rsidR="009440A9" w:rsidRDefault="009440A9" w:rsidP="009440A9">
      <w:pPr>
        <w:pStyle w:val="SMHeading"/>
        <w:rPr>
          <w:rFonts w:ascii="Arial" w:eastAsia="Arial" w:hAnsi="Arial" w:cs="Arial"/>
        </w:rPr>
      </w:pPr>
    </w:p>
    <w:p w14:paraId="39051398" w14:textId="1DE27A4E" w:rsidR="004534CE" w:rsidRDefault="00476C80" w:rsidP="00615DFA">
      <w:pPr>
        <w:rPr>
          <w:rFonts w:ascii="Arial" w:hAnsi="Arial" w:cs="Arial"/>
          <w:sz w:val="20"/>
        </w:rPr>
      </w:pPr>
      <w:r>
        <w:rPr>
          <w:rFonts w:ascii="Arial" w:hAnsi="Arial" w:cs="Arial"/>
          <w:b/>
          <w:bCs/>
          <w:sz w:val="20"/>
        </w:rPr>
        <w:br w:type="page"/>
      </w:r>
      <w:r w:rsidR="001752C8" w:rsidRPr="001752C8">
        <w:rPr>
          <w:rFonts w:ascii="Arial" w:hAnsi="Arial" w:cs="Arial"/>
          <w:b/>
          <w:bCs/>
          <w:sz w:val="20"/>
        </w:rPr>
        <w:lastRenderedPageBreak/>
        <w:t>SupTables.xlsx</w:t>
      </w:r>
      <w:r w:rsidR="001752C8" w:rsidRPr="001752C8">
        <w:rPr>
          <w:rFonts w:ascii="Arial" w:hAnsi="Arial" w:cs="Arial"/>
          <w:b/>
          <w:bCs/>
          <w:sz w:val="20"/>
        </w:rPr>
        <w:t xml:space="preserve"> </w:t>
      </w:r>
      <w:r w:rsidR="00C50C6D" w:rsidRPr="00615DFA">
        <w:rPr>
          <w:rFonts w:ascii="Arial" w:hAnsi="Arial" w:cs="Arial"/>
          <w:b/>
          <w:bCs/>
          <w:sz w:val="20"/>
        </w:rPr>
        <w:t>(separate file</w:t>
      </w:r>
      <w:r w:rsidR="00C50C6D" w:rsidRPr="00DC623A">
        <w:rPr>
          <w:rFonts w:ascii="Arial" w:hAnsi="Arial" w:cs="Arial"/>
          <w:sz w:val="20"/>
        </w:rPr>
        <w:t>)</w:t>
      </w:r>
      <w:r w:rsidR="002C667A" w:rsidRPr="00DC623A">
        <w:rPr>
          <w:rFonts w:ascii="Arial" w:hAnsi="Arial" w:cs="Arial"/>
          <w:sz w:val="20"/>
        </w:rPr>
        <w:t>.</w:t>
      </w:r>
      <w:r w:rsidR="00F25DEF" w:rsidRPr="00DC623A">
        <w:rPr>
          <w:rFonts w:ascii="Arial" w:hAnsi="Arial" w:cs="Arial"/>
          <w:sz w:val="20"/>
        </w:rPr>
        <w:t xml:space="preserve"> </w:t>
      </w:r>
    </w:p>
    <w:p w14:paraId="2EC88014" w14:textId="72772A78" w:rsidR="0008231D" w:rsidRPr="004534CE" w:rsidRDefault="004534CE" w:rsidP="00840BB2">
      <w:pPr>
        <w:pStyle w:val="SMHeading"/>
        <w:rPr>
          <w:rFonts w:ascii="Arial" w:hAnsi="Arial" w:cs="Arial"/>
          <w:sz w:val="20"/>
          <w:szCs w:val="20"/>
        </w:rPr>
      </w:pPr>
      <w:r>
        <w:rPr>
          <w:rFonts w:ascii="Arial" w:hAnsi="Arial" w:cs="Arial"/>
          <w:sz w:val="20"/>
          <w:szCs w:val="20"/>
        </w:rPr>
        <w:t>T</w:t>
      </w:r>
      <w:r w:rsidR="0008231D">
        <w:rPr>
          <w:rFonts w:ascii="Arial" w:hAnsi="Arial" w:cs="Arial"/>
          <w:b w:val="0"/>
          <w:bCs w:val="0"/>
          <w:sz w:val="20"/>
          <w:szCs w:val="20"/>
        </w:rPr>
        <w:t>he</w:t>
      </w:r>
      <w:r w:rsidR="0008231D" w:rsidRPr="0008231D">
        <w:rPr>
          <w:rFonts w:ascii="Arial" w:hAnsi="Arial" w:cs="Arial"/>
          <w:b w:val="0"/>
          <w:bCs w:val="0"/>
          <w:sz w:val="20"/>
          <w:szCs w:val="20"/>
        </w:rPr>
        <w:t xml:space="preserve"> su</w:t>
      </w:r>
      <w:r w:rsidR="001752C8">
        <w:rPr>
          <w:rFonts w:ascii="Arial" w:hAnsi="Arial" w:cs="Arial"/>
          <w:b w:val="0"/>
          <w:bCs w:val="0"/>
          <w:sz w:val="20"/>
          <w:szCs w:val="20"/>
        </w:rPr>
        <w:t>pplemental</w:t>
      </w:r>
      <w:r w:rsidR="0008231D">
        <w:rPr>
          <w:rFonts w:ascii="Arial" w:hAnsi="Arial" w:cs="Arial"/>
          <w:b w:val="0"/>
          <w:bCs w:val="0"/>
          <w:sz w:val="20"/>
          <w:szCs w:val="20"/>
        </w:rPr>
        <w:t xml:space="preserve"> tables</w:t>
      </w:r>
      <w:r w:rsidR="00E370E0">
        <w:rPr>
          <w:rFonts w:ascii="Arial" w:hAnsi="Arial" w:cs="Arial"/>
          <w:b w:val="0"/>
          <w:bCs w:val="0"/>
          <w:sz w:val="20"/>
          <w:szCs w:val="20"/>
        </w:rPr>
        <w:t xml:space="preserve"> 1 through 8 are</w:t>
      </w:r>
      <w:r w:rsidR="0008231D">
        <w:rPr>
          <w:rFonts w:ascii="Arial" w:hAnsi="Arial" w:cs="Arial"/>
          <w:b w:val="0"/>
          <w:bCs w:val="0"/>
          <w:sz w:val="20"/>
          <w:szCs w:val="20"/>
        </w:rPr>
        <w:t xml:space="preserve"> found in the excel file </w:t>
      </w:r>
      <w:r w:rsidR="00E370E0">
        <w:rPr>
          <w:rFonts w:ascii="Arial" w:hAnsi="Arial" w:cs="Arial"/>
          <w:b w:val="0"/>
          <w:bCs w:val="0"/>
          <w:sz w:val="20"/>
          <w:szCs w:val="20"/>
        </w:rPr>
        <w:t>and each is</w:t>
      </w:r>
      <w:r w:rsidR="001752C8">
        <w:rPr>
          <w:rFonts w:ascii="Arial" w:hAnsi="Arial" w:cs="Arial"/>
          <w:b w:val="0"/>
          <w:bCs w:val="0"/>
          <w:sz w:val="20"/>
          <w:szCs w:val="20"/>
        </w:rPr>
        <w:t xml:space="preserve"> referenced in the manuscript.  Each tab contains a table with a footer describing the contents.</w:t>
      </w:r>
    </w:p>
    <w:p w14:paraId="4D94328E" w14:textId="77777777" w:rsidR="00454366" w:rsidRPr="00454366" w:rsidRDefault="00454366" w:rsidP="00454366">
      <w:pPr>
        <w:spacing w:line="480" w:lineRule="auto"/>
        <w:jc w:val="both"/>
        <w:rPr>
          <w:rFonts w:ascii="Arial" w:eastAsia="Arial" w:hAnsi="Arial" w:cs="Arial"/>
          <w:b/>
          <w:sz w:val="20"/>
        </w:rPr>
      </w:pPr>
    </w:p>
    <w:p w14:paraId="132B81BC" w14:textId="77777777" w:rsidR="00454366" w:rsidRPr="00DC623A" w:rsidRDefault="00454366" w:rsidP="00840BB2">
      <w:pPr>
        <w:pStyle w:val="SMHeading"/>
        <w:rPr>
          <w:rFonts w:ascii="Arial" w:hAnsi="Arial" w:cs="Arial"/>
          <w:sz w:val="20"/>
          <w:szCs w:val="20"/>
        </w:rPr>
      </w:pPr>
    </w:p>
    <w:p w14:paraId="6C96BED5" w14:textId="44B492C1" w:rsidR="00820484" w:rsidRPr="00DC623A" w:rsidRDefault="00454366" w:rsidP="00615DFA">
      <w:pPr>
        <w:rPr>
          <w:rFonts w:ascii="Arial" w:hAnsi="Arial" w:cs="Arial"/>
          <w:b/>
          <w:sz w:val="20"/>
        </w:rPr>
      </w:pPr>
      <w:r>
        <w:rPr>
          <w:rFonts w:ascii="Arial" w:hAnsi="Arial" w:cs="Arial"/>
          <w:sz w:val="20"/>
        </w:rPr>
        <w:br w:type="page"/>
      </w:r>
      <w:r w:rsidR="00F514EC" w:rsidRPr="00DC623A">
        <w:rPr>
          <w:rFonts w:ascii="Arial" w:hAnsi="Arial" w:cs="Arial"/>
          <w:b/>
          <w:sz w:val="20"/>
        </w:rPr>
        <w:lastRenderedPageBreak/>
        <w:t xml:space="preserve">SI </w:t>
      </w:r>
      <w:r w:rsidR="00820484" w:rsidRPr="00DC623A">
        <w:rPr>
          <w:rFonts w:ascii="Arial" w:hAnsi="Arial" w:cs="Arial"/>
          <w:b/>
          <w:sz w:val="20"/>
        </w:rPr>
        <w:t>References</w:t>
      </w:r>
    </w:p>
    <w:p w14:paraId="59D77E69" w14:textId="3BE16F4E" w:rsidR="002C667A" w:rsidRDefault="002C667A" w:rsidP="00477182">
      <w:pPr>
        <w:pStyle w:val="SMcaption"/>
        <w:rPr>
          <w:rFonts w:ascii="Arial" w:hAnsi="Arial" w:cs="Arial"/>
          <w:b/>
          <w:sz w:val="20"/>
        </w:rPr>
      </w:pPr>
    </w:p>
    <w:p w14:paraId="3389689C" w14:textId="3B57C56E" w:rsidR="00387911" w:rsidRPr="00387911" w:rsidRDefault="00387911" w:rsidP="00387911">
      <w:pPr>
        <w:widowControl w:val="0"/>
        <w:autoSpaceDE w:val="0"/>
        <w:autoSpaceDN w:val="0"/>
        <w:adjustRightInd w:val="0"/>
        <w:ind w:left="640" w:hanging="640"/>
        <w:rPr>
          <w:rFonts w:ascii="Arial" w:hAnsi="Arial" w:cs="Arial"/>
          <w:noProof/>
          <w:sz w:val="20"/>
        </w:rPr>
      </w:pPr>
      <w:r>
        <w:rPr>
          <w:rFonts w:ascii="Arial" w:hAnsi="Arial" w:cs="Arial"/>
          <w:b/>
          <w:sz w:val="20"/>
        </w:rPr>
        <w:fldChar w:fldCharType="begin" w:fldLock="1"/>
      </w:r>
      <w:r>
        <w:rPr>
          <w:rFonts w:ascii="Arial" w:hAnsi="Arial" w:cs="Arial"/>
          <w:b/>
          <w:sz w:val="20"/>
        </w:rPr>
        <w:instrText xml:space="preserve">ADDIN Mendeley Bibliography CSL_BIBLIOGRAPHY </w:instrText>
      </w:r>
      <w:r>
        <w:rPr>
          <w:rFonts w:ascii="Arial" w:hAnsi="Arial" w:cs="Arial"/>
          <w:b/>
          <w:sz w:val="20"/>
        </w:rPr>
        <w:fldChar w:fldCharType="separate"/>
      </w:r>
      <w:r w:rsidRPr="00387911">
        <w:rPr>
          <w:rFonts w:ascii="Arial" w:hAnsi="Arial" w:cs="Arial"/>
          <w:noProof/>
          <w:sz w:val="20"/>
          <w:szCs w:val="24"/>
        </w:rPr>
        <w:t xml:space="preserve">1. </w:t>
      </w:r>
      <w:r w:rsidRPr="00387911">
        <w:rPr>
          <w:rFonts w:ascii="Arial" w:hAnsi="Arial" w:cs="Arial"/>
          <w:noProof/>
          <w:sz w:val="20"/>
          <w:szCs w:val="24"/>
        </w:rPr>
        <w:tab/>
        <w:t xml:space="preserve">A. M. Smith, </w:t>
      </w:r>
      <w:r w:rsidRPr="00387911">
        <w:rPr>
          <w:rFonts w:ascii="Arial" w:hAnsi="Arial" w:cs="Arial"/>
          <w:i/>
          <w:iCs/>
          <w:noProof/>
          <w:sz w:val="20"/>
          <w:szCs w:val="24"/>
        </w:rPr>
        <w:t>et al.</w:t>
      </w:r>
      <w:r w:rsidRPr="00387911">
        <w:rPr>
          <w:rFonts w:ascii="Arial" w:hAnsi="Arial" w:cs="Arial"/>
          <w:noProof/>
          <w:sz w:val="20"/>
          <w:szCs w:val="24"/>
        </w:rPr>
        <w:t xml:space="preserve">, Amino Acid Dysregulation Metabotypes: Potential Biomarkers for Diagnosis and Individualized Treatment for Subtypes of Autism Spectrum Disorder. </w:t>
      </w:r>
      <w:r w:rsidRPr="00387911">
        <w:rPr>
          <w:rFonts w:ascii="Arial" w:hAnsi="Arial" w:cs="Arial"/>
          <w:i/>
          <w:iCs/>
          <w:noProof/>
          <w:sz w:val="20"/>
          <w:szCs w:val="24"/>
        </w:rPr>
        <w:t>Biol. Psychiatry</w:t>
      </w:r>
      <w:r w:rsidRPr="00387911">
        <w:rPr>
          <w:rFonts w:ascii="Arial" w:hAnsi="Arial" w:cs="Arial"/>
          <w:noProof/>
          <w:sz w:val="20"/>
          <w:szCs w:val="24"/>
        </w:rPr>
        <w:t xml:space="preserve"> </w:t>
      </w:r>
      <w:r w:rsidRPr="00387911">
        <w:rPr>
          <w:rFonts w:ascii="Arial" w:hAnsi="Arial" w:cs="Arial"/>
          <w:b/>
          <w:bCs/>
          <w:noProof/>
          <w:sz w:val="20"/>
          <w:szCs w:val="24"/>
        </w:rPr>
        <w:t>85</w:t>
      </w:r>
      <w:r w:rsidRPr="00387911">
        <w:rPr>
          <w:rFonts w:ascii="Arial" w:hAnsi="Arial" w:cs="Arial"/>
          <w:noProof/>
          <w:sz w:val="20"/>
          <w:szCs w:val="24"/>
        </w:rPr>
        <w:t>, 345–354 (2019).</w:t>
      </w:r>
    </w:p>
    <w:p w14:paraId="5277DA07" w14:textId="614BFDE3" w:rsidR="00387911" w:rsidRPr="00DC623A" w:rsidRDefault="00387911" w:rsidP="00477182">
      <w:pPr>
        <w:pStyle w:val="SMcaption"/>
        <w:rPr>
          <w:rFonts w:ascii="Arial" w:hAnsi="Arial" w:cs="Arial"/>
          <w:b/>
          <w:sz w:val="20"/>
        </w:rPr>
      </w:pPr>
      <w:r>
        <w:rPr>
          <w:rFonts w:ascii="Arial" w:hAnsi="Arial" w:cs="Arial"/>
          <w:b/>
          <w:sz w:val="20"/>
        </w:rPr>
        <w:fldChar w:fldCharType="end"/>
      </w:r>
    </w:p>
    <w:sectPr w:rsidR="00387911" w:rsidRPr="00DC623A" w:rsidSect="00F125EE">
      <w:headerReference w:type="default" r:id="rId9"/>
      <w:footerReference w:type="default" r:id="rId1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6B846" w14:textId="77777777" w:rsidR="002832A7" w:rsidRDefault="002832A7">
      <w:r>
        <w:separator/>
      </w:r>
    </w:p>
  </w:endnote>
  <w:endnote w:type="continuationSeparator" w:id="0">
    <w:p w14:paraId="2CB8ABA6" w14:textId="77777777" w:rsidR="002832A7" w:rsidRDefault="00283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636CDF8D" w:rsidR="00F125EE" w:rsidRDefault="00114193">
    <w:pPr>
      <w:pStyle w:val="Footer"/>
      <w:jc w:val="right"/>
    </w:pPr>
    <w:r>
      <w:fldChar w:fldCharType="begin"/>
    </w:r>
    <w:r>
      <w:instrText xml:space="preserve"> PAGE   \* MERGEFORMAT </w:instrText>
    </w:r>
    <w:r>
      <w:fldChar w:fldCharType="separate"/>
    </w:r>
    <w:r w:rsidR="005609E9">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C2E08" w14:textId="77777777" w:rsidR="002832A7" w:rsidRDefault="002832A7">
      <w:r>
        <w:separator/>
      </w:r>
    </w:p>
  </w:footnote>
  <w:footnote w:type="continuationSeparator" w:id="0">
    <w:p w14:paraId="3A0639FE" w14:textId="77777777" w:rsidR="002832A7" w:rsidRDefault="00283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988860">
    <w:abstractNumId w:val="9"/>
  </w:num>
  <w:num w:numId="2" w16cid:durableId="1376933420">
    <w:abstractNumId w:val="7"/>
  </w:num>
  <w:num w:numId="3" w16cid:durableId="1768229789">
    <w:abstractNumId w:val="6"/>
  </w:num>
  <w:num w:numId="4" w16cid:durableId="1478886796">
    <w:abstractNumId w:val="5"/>
  </w:num>
  <w:num w:numId="5" w16cid:durableId="313687229">
    <w:abstractNumId w:val="4"/>
  </w:num>
  <w:num w:numId="6" w16cid:durableId="528687845">
    <w:abstractNumId w:val="8"/>
  </w:num>
  <w:num w:numId="7" w16cid:durableId="1890412625">
    <w:abstractNumId w:val="3"/>
  </w:num>
  <w:num w:numId="8" w16cid:durableId="1493566023">
    <w:abstractNumId w:val="2"/>
  </w:num>
  <w:num w:numId="9" w16cid:durableId="626856096">
    <w:abstractNumId w:val="1"/>
  </w:num>
  <w:num w:numId="10" w16cid:durableId="446968095">
    <w:abstractNumId w:val="0"/>
  </w:num>
  <w:num w:numId="11" w16cid:durableId="1236012133">
    <w:abstractNumId w:val="10"/>
  </w:num>
  <w:num w:numId="12" w16cid:durableId="2068409334">
    <w:abstractNumId w:val="12"/>
  </w:num>
  <w:num w:numId="13" w16cid:durableId="1753891773">
    <w:abstractNumId w:val="13"/>
  </w:num>
  <w:num w:numId="14" w16cid:durableId="20867975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4655"/>
    <w:rsid w:val="00015F74"/>
    <w:rsid w:val="00017C53"/>
    <w:rsid w:val="00030840"/>
    <w:rsid w:val="00065EBD"/>
    <w:rsid w:val="0008231D"/>
    <w:rsid w:val="00083B44"/>
    <w:rsid w:val="000850DC"/>
    <w:rsid w:val="000A41E4"/>
    <w:rsid w:val="000B7DDF"/>
    <w:rsid w:val="000C2771"/>
    <w:rsid w:val="000C5F36"/>
    <w:rsid w:val="000F0DCE"/>
    <w:rsid w:val="0010542E"/>
    <w:rsid w:val="001123DE"/>
    <w:rsid w:val="00112C5B"/>
    <w:rsid w:val="00114193"/>
    <w:rsid w:val="00115A38"/>
    <w:rsid w:val="0011687B"/>
    <w:rsid w:val="00124F82"/>
    <w:rsid w:val="0016337A"/>
    <w:rsid w:val="00164269"/>
    <w:rsid w:val="001752C8"/>
    <w:rsid w:val="001A1BDE"/>
    <w:rsid w:val="001C0520"/>
    <w:rsid w:val="001C0975"/>
    <w:rsid w:val="001F0876"/>
    <w:rsid w:val="001F167C"/>
    <w:rsid w:val="001F5E91"/>
    <w:rsid w:val="00206568"/>
    <w:rsid w:val="002077B9"/>
    <w:rsid w:val="00262D72"/>
    <w:rsid w:val="002832A7"/>
    <w:rsid w:val="00294FBB"/>
    <w:rsid w:val="002C030F"/>
    <w:rsid w:val="002C667A"/>
    <w:rsid w:val="002E32C6"/>
    <w:rsid w:val="00325D90"/>
    <w:rsid w:val="00331D75"/>
    <w:rsid w:val="00332BFB"/>
    <w:rsid w:val="00355362"/>
    <w:rsid w:val="00363E44"/>
    <w:rsid w:val="00387114"/>
    <w:rsid w:val="00387911"/>
    <w:rsid w:val="00395E86"/>
    <w:rsid w:val="00397983"/>
    <w:rsid w:val="003A2FD8"/>
    <w:rsid w:val="003B40E6"/>
    <w:rsid w:val="003C5344"/>
    <w:rsid w:val="003F6E14"/>
    <w:rsid w:val="00405336"/>
    <w:rsid w:val="004534CE"/>
    <w:rsid w:val="00454366"/>
    <w:rsid w:val="004571D5"/>
    <w:rsid w:val="00461D81"/>
    <w:rsid w:val="0046356B"/>
    <w:rsid w:val="00476C80"/>
    <w:rsid w:val="00477182"/>
    <w:rsid w:val="004779CB"/>
    <w:rsid w:val="004A159F"/>
    <w:rsid w:val="004B2F21"/>
    <w:rsid w:val="004E42D8"/>
    <w:rsid w:val="004E7BA2"/>
    <w:rsid w:val="004F7EDF"/>
    <w:rsid w:val="005001AC"/>
    <w:rsid w:val="00527D71"/>
    <w:rsid w:val="005607DD"/>
    <w:rsid w:val="005609E9"/>
    <w:rsid w:val="005A558C"/>
    <w:rsid w:val="005C52D5"/>
    <w:rsid w:val="005D088E"/>
    <w:rsid w:val="005E28F8"/>
    <w:rsid w:val="005E6513"/>
    <w:rsid w:val="006069C6"/>
    <w:rsid w:val="00611A19"/>
    <w:rsid w:val="006140DF"/>
    <w:rsid w:val="00615DFA"/>
    <w:rsid w:val="00651114"/>
    <w:rsid w:val="00651E53"/>
    <w:rsid w:val="0065772A"/>
    <w:rsid w:val="00670299"/>
    <w:rsid w:val="00690668"/>
    <w:rsid w:val="00691985"/>
    <w:rsid w:val="006A1B64"/>
    <w:rsid w:val="006D169A"/>
    <w:rsid w:val="006E3E68"/>
    <w:rsid w:val="007108F5"/>
    <w:rsid w:val="00713E5B"/>
    <w:rsid w:val="007402FC"/>
    <w:rsid w:val="007411A1"/>
    <w:rsid w:val="007575EF"/>
    <w:rsid w:val="00763345"/>
    <w:rsid w:val="007843C9"/>
    <w:rsid w:val="00797F24"/>
    <w:rsid w:val="007B5946"/>
    <w:rsid w:val="007E7A18"/>
    <w:rsid w:val="007F5297"/>
    <w:rsid w:val="00807D35"/>
    <w:rsid w:val="00820484"/>
    <w:rsid w:val="00824DF3"/>
    <w:rsid w:val="00840BB2"/>
    <w:rsid w:val="00885C9B"/>
    <w:rsid w:val="008A3493"/>
    <w:rsid w:val="008C069B"/>
    <w:rsid w:val="008D5D2A"/>
    <w:rsid w:val="00914B63"/>
    <w:rsid w:val="009258B8"/>
    <w:rsid w:val="00930F1C"/>
    <w:rsid w:val="009354F3"/>
    <w:rsid w:val="00943C3C"/>
    <w:rsid w:val="009440A9"/>
    <w:rsid w:val="009447DC"/>
    <w:rsid w:val="009519CF"/>
    <w:rsid w:val="00961BA5"/>
    <w:rsid w:val="00972020"/>
    <w:rsid w:val="009743A9"/>
    <w:rsid w:val="009A5287"/>
    <w:rsid w:val="009A670E"/>
    <w:rsid w:val="009B2AC5"/>
    <w:rsid w:val="009B7984"/>
    <w:rsid w:val="009F4BED"/>
    <w:rsid w:val="009F7D93"/>
    <w:rsid w:val="00A10B7F"/>
    <w:rsid w:val="00A3403B"/>
    <w:rsid w:val="00A51A12"/>
    <w:rsid w:val="00A627D4"/>
    <w:rsid w:val="00A72B81"/>
    <w:rsid w:val="00A74DA2"/>
    <w:rsid w:val="00AB5D25"/>
    <w:rsid w:val="00AC15B4"/>
    <w:rsid w:val="00AD499C"/>
    <w:rsid w:val="00AE5A70"/>
    <w:rsid w:val="00B003EE"/>
    <w:rsid w:val="00B038F4"/>
    <w:rsid w:val="00B15008"/>
    <w:rsid w:val="00B16F99"/>
    <w:rsid w:val="00B36869"/>
    <w:rsid w:val="00B42F9C"/>
    <w:rsid w:val="00B43B31"/>
    <w:rsid w:val="00B47CFA"/>
    <w:rsid w:val="00B57F00"/>
    <w:rsid w:val="00B77B2A"/>
    <w:rsid w:val="00B82C22"/>
    <w:rsid w:val="00B86C85"/>
    <w:rsid w:val="00B8723B"/>
    <w:rsid w:val="00B93DBA"/>
    <w:rsid w:val="00B9440A"/>
    <w:rsid w:val="00BB2D2A"/>
    <w:rsid w:val="00BB4365"/>
    <w:rsid w:val="00BD58CF"/>
    <w:rsid w:val="00C02634"/>
    <w:rsid w:val="00C046DC"/>
    <w:rsid w:val="00C04CC1"/>
    <w:rsid w:val="00C12112"/>
    <w:rsid w:val="00C364C5"/>
    <w:rsid w:val="00C47714"/>
    <w:rsid w:val="00C50C6D"/>
    <w:rsid w:val="00C600D9"/>
    <w:rsid w:val="00C837A4"/>
    <w:rsid w:val="00CC1384"/>
    <w:rsid w:val="00CD3720"/>
    <w:rsid w:val="00CF16C9"/>
    <w:rsid w:val="00CF1848"/>
    <w:rsid w:val="00CF5C2F"/>
    <w:rsid w:val="00D04BCF"/>
    <w:rsid w:val="00D143D9"/>
    <w:rsid w:val="00D269AB"/>
    <w:rsid w:val="00D346C2"/>
    <w:rsid w:val="00D36E4E"/>
    <w:rsid w:val="00D44EF7"/>
    <w:rsid w:val="00DA22DA"/>
    <w:rsid w:val="00DA59EA"/>
    <w:rsid w:val="00DB0B1D"/>
    <w:rsid w:val="00DC623A"/>
    <w:rsid w:val="00DD421A"/>
    <w:rsid w:val="00DF6930"/>
    <w:rsid w:val="00E257C8"/>
    <w:rsid w:val="00E30CCD"/>
    <w:rsid w:val="00E37047"/>
    <w:rsid w:val="00E370E0"/>
    <w:rsid w:val="00E60D0F"/>
    <w:rsid w:val="00E9773B"/>
    <w:rsid w:val="00EA596B"/>
    <w:rsid w:val="00EC13A3"/>
    <w:rsid w:val="00EC7C85"/>
    <w:rsid w:val="00EE154C"/>
    <w:rsid w:val="00EE4D64"/>
    <w:rsid w:val="00F04CD9"/>
    <w:rsid w:val="00F125EE"/>
    <w:rsid w:val="00F12E98"/>
    <w:rsid w:val="00F22029"/>
    <w:rsid w:val="00F25DEF"/>
    <w:rsid w:val="00F514EC"/>
    <w:rsid w:val="00F60CD4"/>
    <w:rsid w:val="00F630EA"/>
    <w:rsid w:val="00F7007E"/>
    <w:rsid w:val="00F70200"/>
    <w:rsid w:val="00F73193"/>
    <w:rsid w:val="00F74F95"/>
    <w:rsid w:val="00F80705"/>
    <w:rsid w:val="00F86AD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rsid w:val="00405336"/>
    <w:rPr>
      <w:sz w:val="20"/>
    </w:rPr>
  </w:style>
  <w:style w:type="character" w:customStyle="1" w:styleId="CommentTextChar">
    <w:name w:val="Comment Text Char"/>
    <w:basedOn w:val="DefaultParagraphFont"/>
    <w:link w:val="CommentText"/>
    <w:uiPriority w:val="99"/>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039671827">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2B56-2A89-4BEC-8704-A6FBF911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11764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Alan Smith</cp:lastModifiedBy>
  <cp:revision>7</cp:revision>
  <cp:lastPrinted>2018-02-26T17:19:00Z</cp:lastPrinted>
  <dcterms:created xsi:type="dcterms:W3CDTF">2022-08-02T19:17:00Z</dcterms:created>
  <dcterms:modified xsi:type="dcterms:W3CDTF">2022-08-02T19:46:00Z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http://www.zotero.org/styles/pnas</vt:lpwstr>
  </property>
  <property fmtid="{D5CDD505-2E9C-101B-9397-08002B2CF9AE}" pid="21" name="Mendeley Recent Style Name 9_1">
    <vt:lpwstr>Proceedings of the National Academy of Sciences of the United States of America</vt:lpwstr>
  </property>
  <property fmtid="{D5CDD505-2E9C-101B-9397-08002B2CF9AE}" pid="22" name="Mendeley Document_1">
    <vt:lpwstr>True</vt:lpwstr>
  </property>
  <property fmtid="{D5CDD505-2E9C-101B-9397-08002B2CF9AE}" pid="23" name="Mendeley Unique User Id_1">
    <vt:lpwstr>26e07b0b-5c7e-3104-b251-60b509393d1c</vt:lpwstr>
  </property>
  <property fmtid="{D5CDD505-2E9C-101B-9397-08002B2CF9AE}" pid="24" name="Mendeley Citation Style_1">
    <vt:lpwstr>http://www.zotero.org/styles/pnas</vt:lpwstr>
  </property>
</Properties>
</file>