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9D908" w14:textId="77777777" w:rsidR="002A2F13" w:rsidRPr="00424315" w:rsidRDefault="002A2F13" w:rsidP="002A2F13">
      <w:pPr>
        <w:spacing w:line="480" w:lineRule="auto"/>
      </w:pPr>
      <w:r w:rsidRPr="008138BA">
        <w:rPr>
          <w:bCs/>
          <w:sz w:val="28"/>
          <w:szCs w:val="28"/>
        </w:rPr>
        <w:t xml:space="preserve">Supplemental Materials for: </w:t>
      </w:r>
    </w:p>
    <w:p w14:paraId="7B11563C" w14:textId="77777777" w:rsidR="00222775" w:rsidRDefault="00222775" w:rsidP="00222775">
      <w:pPr>
        <w:pStyle w:val="p1"/>
        <w:spacing w:line="48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24CCC8AD" w14:textId="77777777" w:rsidR="00195414" w:rsidRPr="008138BA" w:rsidRDefault="00195414" w:rsidP="00195414">
      <w:pPr>
        <w:pStyle w:val="p1"/>
        <w:spacing w:line="480" w:lineRule="auto"/>
        <w:jc w:val="both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Full Title: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A </w:t>
      </w:r>
      <w:proofErr w:type="spellStart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trispecific</w:t>
      </w:r>
      <w:proofErr w:type="spellEnd"/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Ab directed to HIV-1 and </w:t>
      </w:r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>T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>cell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s</w:t>
      </w:r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activates and eliminates </w:t>
      </w:r>
      <w:proofErr w:type="gramStart"/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>latently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-</w:t>
      </w:r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>infected</w:t>
      </w:r>
      <w:proofErr w:type="gramEnd"/>
      <w:r w:rsidRPr="008138B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cells in HIV/SHIV infections</w:t>
      </w:r>
    </w:p>
    <w:p w14:paraId="5F3B6279" w14:textId="77777777" w:rsidR="00195414" w:rsidRPr="008138BA" w:rsidRDefault="00195414" w:rsidP="00195414">
      <w:pPr>
        <w:spacing w:line="480" w:lineRule="auto"/>
        <w:jc w:val="both"/>
        <w:rPr>
          <w:color w:val="000000" w:themeColor="text1"/>
        </w:rPr>
      </w:pPr>
    </w:p>
    <w:p w14:paraId="5AF6038E" w14:textId="77777777" w:rsidR="00DA69B1" w:rsidRPr="008138BA" w:rsidRDefault="00DA69B1" w:rsidP="00DA69B1">
      <w:pPr>
        <w:pStyle w:val="p1"/>
        <w:spacing w:line="480" w:lineRule="auto"/>
        <w:jc w:val="both"/>
        <w:rPr>
          <w:rFonts w:ascii="Times New Roman" w:hAnsi="Times New Roman"/>
          <w:color w:val="000000" w:themeColor="text1"/>
          <w:sz w:val="24"/>
          <w:szCs w:val="24"/>
          <w:vertAlign w:val="superscript"/>
        </w:rPr>
      </w:pPr>
      <w:r w:rsidRPr="008138BA">
        <w:rPr>
          <w:rFonts w:ascii="Times New Roman" w:hAnsi="Times New Roman"/>
          <w:color w:val="000000" w:themeColor="text1"/>
          <w:sz w:val="24"/>
          <w:szCs w:val="24"/>
        </w:rPr>
        <w:t>Wanwisa Promsote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Ling Xu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,3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Jason Hataye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Giulia Fabozzi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Kylie March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Cassandra G. Almasri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Megan E. Demouth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 xml:space="preserve">, Sarah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E. 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Lovelace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Chloe Adrienna Talana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David Ambrozak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</w:rPr>
        <w:t>Jochen Beninga</w:t>
      </w:r>
      <w:r w:rsidRPr="00A27B6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Erco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 xml:space="preserve"> Rao</w:t>
      </w:r>
      <w:r w:rsidRPr="00A27B62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Norbert Furtmann</w:t>
      </w:r>
      <w:r w:rsidRPr="00CE34E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, Joerg Birkenfeld</w:t>
      </w:r>
      <w:r w:rsidRPr="00CE34E6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Elizabeth McCarthy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John-Paul Todd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 Costas Petrovas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 Mark Connors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4</w:t>
      </w:r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Andrew H. Hebert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 Jeremy Beck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Junqing</w:t>
      </w:r>
      <w:proofErr w:type="spellEnd"/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 Shen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Bailin</w:t>
      </w:r>
      <w:proofErr w:type="spellEnd"/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 Zhang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 w:rsidRPr="001703E9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 Mikhail Levit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 Ronnie Wei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,3</w:t>
      </w:r>
      <w:r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Zhi-yong</w:t>
      </w:r>
      <w:proofErr w:type="spellEnd"/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 Yang</w:t>
      </w:r>
      <w:bookmarkStart w:id="0" w:name="_Hlk98925505"/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</w:t>
      </w:r>
      <w:bookmarkEnd w:id="0"/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3</w:t>
      </w:r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Amarendra Pegu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John R. Mascola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  <w:r w:rsidRPr="008138BA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BC0E5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Gary J. Nabel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,3</w:t>
      </w:r>
      <w:r w:rsidRPr="008138BA">
        <w:rPr>
          <w:rFonts w:ascii="Times New Roman" w:hAnsi="Times New Roman"/>
          <w:color w:val="000000" w:themeColor="text1"/>
          <w:sz w:val="24"/>
          <w:szCs w:val="24"/>
        </w:rPr>
        <w:t>, and Richard A. Koup</w:t>
      </w:r>
      <w:r w:rsidRPr="008138BA">
        <w:rPr>
          <w:rFonts w:ascii="Times New Roman" w:hAnsi="Times New Roman"/>
          <w:color w:val="000000" w:themeColor="text1"/>
          <w:sz w:val="24"/>
          <w:szCs w:val="24"/>
          <w:vertAlign w:val="superscript"/>
        </w:rPr>
        <w:t>1</w:t>
      </w:r>
    </w:p>
    <w:p w14:paraId="5792992E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  <w:rPr>
          <w:b/>
        </w:rPr>
      </w:pPr>
    </w:p>
    <w:p w14:paraId="2E0B6D8D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  <w:rPr>
          <w:b/>
        </w:rPr>
      </w:pPr>
    </w:p>
    <w:p w14:paraId="07768D06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  <w:rPr>
          <w:b/>
        </w:rPr>
      </w:pPr>
    </w:p>
    <w:p w14:paraId="6A0CC7A4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  <w:rPr>
          <w:b/>
        </w:rPr>
      </w:pPr>
    </w:p>
    <w:p w14:paraId="0753BBB8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  <w:rPr>
          <w:b/>
          <w:sz w:val="28"/>
          <w:szCs w:val="28"/>
        </w:rPr>
      </w:pPr>
      <w:r w:rsidRPr="008138BA">
        <w:rPr>
          <w:b/>
          <w:sz w:val="28"/>
          <w:szCs w:val="28"/>
        </w:rPr>
        <w:t>Affiliations:</w:t>
      </w:r>
    </w:p>
    <w:p w14:paraId="32552CDB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</w:pPr>
      <w:r w:rsidRPr="008138BA">
        <w:rPr>
          <w:vertAlign w:val="superscript"/>
        </w:rPr>
        <w:t>1</w:t>
      </w:r>
      <w:r w:rsidRPr="008138BA">
        <w:t>Vaccine Research Center, National Institute of Allergy and Infectious Diseases, National Institutes of Health, Bethesda, MD, USA.</w:t>
      </w:r>
    </w:p>
    <w:p w14:paraId="08A68B14" w14:textId="77777777" w:rsidR="00222775" w:rsidRDefault="00222775" w:rsidP="00222775">
      <w:pPr>
        <w:spacing w:line="480" w:lineRule="auto"/>
        <w:jc w:val="both"/>
      </w:pPr>
      <w:r w:rsidRPr="008138BA">
        <w:rPr>
          <w:vertAlign w:val="superscript"/>
        </w:rPr>
        <w:t>2</w:t>
      </w:r>
      <w:r w:rsidRPr="008138BA">
        <w:t>Sanofi, 640 Memorial Dr., Cambridge MA, 02139, USA</w:t>
      </w:r>
    </w:p>
    <w:p w14:paraId="7832369C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</w:pPr>
      <w:r>
        <w:rPr>
          <w:vertAlign w:val="superscript"/>
        </w:rPr>
        <w:t>3</w:t>
      </w:r>
      <w:r>
        <w:t xml:space="preserve">ModeX Therapeutics Inc., </w:t>
      </w:r>
      <w:r w:rsidRPr="003D71D3">
        <w:t>22 Strathmore Road, Natick, MA 01760</w:t>
      </w:r>
      <w:r>
        <w:t xml:space="preserve">, USA </w:t>
      </w:r>
    </w:p>
    <w:p w14:paraId="3965EF4A" w14:textId="77777777" w:rsidR="00222775" w:rsidRPr="008138BA" w:rsidRDefault="00222775" w:rsidP="00222775">
      <w:pPr>
        <w:spacing w:line="480" w:lineRule="auto"/>
        <w:jc w:val="both"/>
      </w:pPr>
      <w:r>
        <w:rPr>
          <w:vertAlign w:val="superscript"/>
        </w:rPr>
        <w:t>4</w:t>
      </w:r>
      <w:r w:rsidRPr="008138BA">
        <w:t>NIAID, NIH, Bethesda, MD, 20892, USA</w:t>
      </w:r>
    </w:p>
    <w:p w14:paraId="1699C406" w14:textId="77777777" w:rsidR="00222775" w:rsidRPr="008138BA" w:rsidRDefault="00222775" w:rsidP="00222775">
      <w:pPr>
        <w:pStyle w:val="Paragraph"/>
        <w:spacing w:before="0" w:line="480" w:lineRule="auto"/>
        <w:ind w:firstLine="0"/>
        <w:jc w:val="both"/>
      </w:pPr>
      <w:r w:rsidRPr="008138BA">
        <w:t>*Correspondence to: rkoup@nih.gov, gary.nabel@modextx.com</w:t>
      </w:r>
    </w:p>
    <w:p w14:paraId="6D318DAD" w14:textId="77777777" w:rsidR="002A2F13" w:rsidRPr="008138BA" w:rsidRDefault="002A2F13" w:rsidP="002A2F13">
      <w:pPr>
        <w:spacing w:line="480" w:lineRule="auto"/>
        <w:jc w:val="both"/>
      </w:pPr>
    </w:p>
    <w:p w14:paraId="422B2070" w14:textId="7EE141FA" w:rsidR="002A2F13" w:rsidRPr="00834EE5" w:rsidRDefault="002A2F13" w:rsidP="002A2F13">
      <w:pPr>
        <w:spacing w:line="480" w:lineRule="auto"/>
        <w:rPr>
          <w:b/>
          <w:bCs/>
        </w:rPr>
      </w:pPr>
      <w:r w:rsidRPr="008138BA">
        <w:rPr>
          <w:b/>
          <w:bCs/>
        </w:rPr>
        <w:lastRenderedPageBreak/>
        <w:t>SUPPLEMENTAL FIGURES</w:t>
      </w:r>
    </w:p>
    <w:p w14:paraId="0B8839C3" w14:textId="77777777" w:rsidR="002A2F13" w:rsidRPr="008138BA" w:rsidRDefault="002A2F13" w:rsidP="002A2F13">
      <w:pPr>
        <w:spacing w:line="480" w:lineRule="auto"/>
      </w:pPr>
    </w:p>
    <w:p w14:paraId="780D3DC7" w14:textId="3A985A65" w:rsidR="00222775" w:rsidRDefault="00253A7A" w:rsidP="00222775">
      <w:pPr>
        <w:spacing w:line="480" w:lineRule="auto"/>
        <w:jc w:val="center"/>
        <w:rPr>
          <w:noProof/>
        </w:rPr>
      </w:pPr>
      <w:r w:rsidRPr="008138BA">
        <w:rPr>
          <w:noProof/>
        </w:rPr>
        <w:object w:dxaOrig="7819" w:dyaOrig="6799" w14:anchorId="551A09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alt="" style="width:390.55pt;height:339.6pt" o:ole="">
            <v:imagedata r:id="rId4" o:title=""/>
          </v:shape>
          <o:OLEObject Type="Embed" ProgID="Prism9.Document" ShapeID="_x0000_i1033" DrawAspect="Content" ObjectID="_1720877012" r:id="rId5"/>
        </w:object>
      </w:r>
    </w:p>
    <w:p w14:paraId="5C790EA9" w14:textId="0915C3B5" w:rsidR="002A2F13" w:rsidRPr="008138BA" w:rsidRDefault="002A2F13" w:rsidP="00734CD9">
      <w:pPr>
        <w:spacing w:line="480" w:lineRule="auto"/>
        <w:jc w:val="both"/>
      </w:pPr>
      <w:r w:rsidRPr="008138BA">
        <w:rPr>
          <w:b/>
          <w:bCs/>
        </w:rPr>
        <w:t xml:space="preserve">Supplemental Figure </w:t>
      </w:r>
      <w:r>
        <w:rPr>
          <w:b/>
          <w:bCs/>
        </w:rPr>
        <w:t>1</w:t>
      </w:r>
      <w:r w:rsidRPr="008138BA">
        <w:rPr>
          <w:b/>
          <w:bCs/>
        </w:rPr>
        <w:t>.</w:t>
      </w:r>
      <w:r w:rsidR="00734CD9">
        <w:rPr>
          <w:b/>
          <w:bCs/>
        </w:rPr>
        <w:t xml:space="preserve"> </w:t>
      </w:r>
      <w:r w:rsidR="00734CD9" w:rsidRPr="008138BA">
        <w:rPr>
          <w:b/>
          <w:bCs/>
        </w:rPr>
        <w:t>N6/</w:t>
      </w:r>
      <w:r w:rsidR="00734CD9">
        <w:rPr>
          <w:b/>
          <w:bCs/>
        </w:rPr>
        <w:t>α</w:t>
      </w:r>
      <w:r w:rsidR="00734CD9" w:rsidRPr="008138BA">
        <w:rPr>
          <w:b/>
          <w:bCs/>
        </w:rPr>
        <w:t>CD3-</w:t>
      </w:r>
      <w:r w:rsidR="00734CD9">
        <w:rPr>
          <w:b/>
          <w:bCs/>
        </w:rPr>
        <w:t>α</w:t>
      </w:r>
      <w:r w:rsidR="00734CD9" w:rsidRPr="008138BA">
        <w:rPr>
          <w:b/>
          <w:bCs/>
        </w:rPr>
        <w:t xml:space="preserve">CD28 enhances the </w:t>
      </w:r>
      <w:r w:rsidR="00734CD9">
        <w:rPr>
          <w:b/>
          <w:bCs/>
        </w:rPr>
        <w:t xml:space="preserve">HIV-specific </w:t>
      </w:r>
      <w:r w:rsidR="00734CD9" w:rsidRPr="008138BA">
        <w:rPr>
          <w:b/>
          <w:bCs/>
        </w:rPr>
        <w:t>T cell activation.</w:t>
      </w:r>
      <w:r w:rsidR="00734CD9" w:rsidRPr="008138BA">
        <w:rPr>
          <w:bCs/>
        </w:rPr>
        <w:t xml:space="preserve"> Expression of intracellular IFN-γ by </w:t>
      </w:r>
      <w:r w:rsidR="00734CD9" w:rsidRPr="008138BA">
        <w:t>CD4</w:t>
      </w:r>
      <w:r w:rsidR="00734CD9" w:rsidRPr="008138BA">
        <w:rPr>
          <w:vertAlign w:val="superscript"/>
        </w:rPr>
        <w:t>+</w:t>
      </w:r>
      <w:r w:rsidR="00734CD9" w:rsidRPr="008138BA">
        <w:t xml:space="preserve"> and CD8</w:t>
      </w:r>
      <w:r w:rsidR="00734CD9" w:rsidRPr="008138BA">
        <w:rPr>
          <w:vertAlign w:val="superscript"/>
        </w:rPr>
        <w:t>+</w:t>
      </w:r>
      <w:r w:rsidR="00734CD9" w:rsidRPr="008138BA">
        <w:t xml:space="preserve"> T cells activated by </w:t>
      </w:r>
      <w:r w:rsidR="00734CD9" w:rsidRPr="00BE31A2">
        <w:t>N6/αCD3-αCD28</w:t>
      </w:r>
      <w:r w:rsidR="00734CD9" w:rsidRPr="008138BA">
        <w:t xml:space="preserve">. Enriched human T cells were co-cultured with either uninfected </w:t>
      </w:r>
      <w:r w:rsidR="00734CD9">
        <w:t xml:space="preserve">(HIV </w:t>
      </w:r>
      <w:r w:rsidR="00734CD9" w:rsidRPr="00734CD9">
        <w:rPr>
          <w:i/>
          <w:iCs/>
        </w:rPr>
        <w:t>env</w:t>
      </w:r>
      <w:r w:rsidR="00734CD9">
        <w:t xml:space="preserve">-) </w:t>
      </w:r>
      <w:r w:rsidR="00734CD9" w:rsidRPr="008138BA">
        <w:t xml:space="preserve">or HIV-infected CEM </w:t>
      </w:r>
      <w:r w:rsidR="00734CD9">
        <w:t xml:space="preserve">(HIV </w:t>
      </w:r>
      <w:r w:rsidR="00734CD9" w:rsidRPr="00734CD9">
        <w:rPr>
          <w:i/>
          <w:iCs/>
        </w:rPr>
        <w:t>env</w:t>
      </w:r>
      <w:r w:rsidR="00734CD9">
        <w:t xml:space="preserve">+) </w:t>
      </w:r>
      <w:r w:rsidR="00734CD9" w:rsidRPr="008138BA">
        <w:t>cells in the presence of 2nM of the indicated T cell engagers and Brefeldin A for 16 hours. The T cells were then stained with antibodies against IFN-</w:t>
      </w:r>
      <w:r w:rsidR="00734CD9" w:rsidRPr="008138BA">
        <w:rPr>
          <w:bCs/>
        </w:rPr>
        <w:t>γ</w:t>
      </w:r>
      <w:r w:rsidR="00734CD9" w:rsidRPr="008138BA">
        <w:t xml:space="preserve"> and the percentage of T cells expressing IFN-</w:t>
      </w:r>
      <w:r w:rsidR="00734CD9" w:rsidRPr="008138BA">
        <w:rPr>
          <w:bCs/>
        </w:rPr>
        <w:t>γ</w:t>
      </w:r>
      <w:r w:rsidR="00734CD9" w:rsidRPr="008138BA">
        <w:t xml:space="preserve"> was measured using flow cytometry.</w:t>
      </w:r>
    </w:p>
    <w:p w14:paraId="2B345884" w14:textId="77777777" w:rsidR="002A2F13" w:rsidRPr="008138BA" w:rsidRDefault="002A2F13" w:rsidP="002A2F13">
      <w:pPr>
        <w:spacing w:line="480" w:lineRule="auto"/>
      </w:pPr>
    </w:p>
    <w:p w14:paraId="123481BE" w14:textId="688C4CFA" w:rsidR="002A2F13" w:rsidRPr="008138BA" w:rsidRDefault="002A2F13" w:rsidP="002A2F13">
      <w:pPr>
        <w:spacing w:line="480" w:lineRule="auto"/>
        <w:jc w:val="center"/>
      </w:pPr>
      <w:r w:rsidRPr="008138BA">
        <w:br w:type="column"/>
      </w:r>
      <w:r w:rsidR="00253A7A" w:rsidRPr="008138BA">
        <w:rPr>
          <w:noProof/>
        </w:rPr>
        <w:object w:dxaOrig="8266" w:dyaOrig="10090" w14:anchorId="22D4CD2D">
          <v:shape id="_x0000_i1031" type="#_x0000_t75" alt="" style="width:476.15pt;height:579.4pt" o:ole="">
            <v:imagedata r:id="rId6" o:title=""/>
          </v:shape>
          <o:OLEObject Type="Embed" ProgID="Prism9.Document" ShapeID="_x0000_i1031" DrawAspect="Content" ObjectID="_1720877013" r:id="rId7"/>
        </w:object>
      </w:r>
    </w:p>
    <w:p w14:paraId="03621BF0" w14:textId="441C7F32" w:rsidR="002A2F13" w:rsidRDefault="002A2F13" w:rsidP="00087AC9">
      <w:pPr>
        <w:spacing w:line="480" w:lineRule="auto"/>
        <w:jc w:val="both"/>
      </w:pPr>
      <w:r w:rsidRPr="008138BA">
        <w:rPr>
          <w:b/>
          <w:bCs/>
        </w:rPr>
        <w:t xml:space="preserve">Supplemental Figure </w:t>
      </w:r>
      <w:r>
        <w:rPr>
          <w:b/>
          <w:bCs/>
        </w:rPr>
        <w:t>2</w:t>
      </w:r>
      <w:r w:rsidRPr="008138BA">
        <w:rPr>
          <w:b/>
          <w:bCs/>
        </w:rPr>
        <w:t>.</w:t>
      </w:r>
      <w:r w:rsidRPr="008138BA">
        <w:t xml:space="preserve"> </w:t>
      </w:r>
      <w:r w:rsidR="002D1DCD" w:rsidRPr="008138BA">
        <w:rPr>
          <w:b/>
          <w:bCs/>
        </w:rPr>
        <w:t xml:space="preserve">N6/αCD3-αCD28 induces HIV reactivation </w:t>
      </w:r>
      <w:r w:rsidR="00E46BCB">
        <w:rPr>
          <w:b/>
          <w:bCs/>
        </w:rPr>
        <w:t xml:space="preserve">of </w:t>
      </w:r>
      <w:proofErr w:type="gramStart"/>
      <w:r w:rsidR="002D1DCD" w:rsidRPr="008138BA">
        <w:rPr>
          <w:b/>
          <w:bCs/>
        </w:rPr>
        <w:t>latently</w:t>
      </w:r>
      <w:r w:rsidR="002D1DCD">
        <w:rPr>
          <w:b/>
          <w:bCs/>
        </w:rPr>
        <w:t>-</w:t>
      </w:r>
      <w:r w:rsidR="002D1DCD" w:rsidRPr="008138BA">
        <w:rPr>
          <w:b/>
          <w:bCs/>
        </w:rPr>
        <w:t>infected</w:t>
      </w:r>
      <w:proofErr w:type="gramEnd"/>
      <w:r w:rsidR="002D1DCD" w:rsidRPr="008138BA">
        <w:rPr>
          <w:b/>
          <w:bCs/>
        </w:rPr>
        <w:t xml:space="preserve"> CD4</w:t>
      </w:r>
      <w:r w:rsidR="002D1DCD" w:rsidRPr="008138BA">
        <w:rPr>
          <w:b/>
          <w:bCs/>
          <w:vertAlign w:val="superscript"/>
        </w:rPr>
        <w:t>+</w:t>
      </w:r>
      <w:r w:rsidR="002D1DCD" w:rsidRPr="008138BA">
        <w:rPr>
          <w:b/>
          <w:bCs/>
        </w:rPr>
        <w:t xml:space="preserve"> T cells </w:t>
      </w:r>
      <w:r w:rsidR="00E46BCB">
        <w:rPr>
          <w:b/>
          <w:bCs/>
        </w:rPr>
        <w:t>and enhances effector CD8</w:t>
      </w:r>
      <w:r w:rsidR="00E46BCB" w:rsidRPr="00457E41">
        <w:rPr>
          <w:b/>
          <w:bCs/>
          <w:vertAlign w:val="superscript"/>
        </w:rPr>
        <w:t xml:space="preserve">+ </w:t>
      </w:r>
      <w:r w:rsidR="00E46BCB">
        <w:rPr>
          <w:b/>
          <w:bCs/>
        </w:rPr>
        <w:t xml:space="preserve">T cells </w:t>
      </w:r>
      <w:r w:rsidR="002D1DCD" w:rsidRPr="008138BA">
        <w:rPr>
          <w:b/>
          <w:bCs/>
        </w:rPr>
        <w:t>of ART-suppressed PBMC cells.</w:t>
      </w:r>
      <w:r w:rsidR="002D1DCD" w:rsidRPr="008138BA">
        <w:rPr>
          <w:b/>
        </w:rPr>
        <w:t xml:space="preserve"> </w:t>
      </w:r>
      <w:r w:rsidR="002D1DCD" w:rsidRPr="008138BA">
        <w:rPr>
          <w:i/>
          <w:iCs/>
        </w:rPr>
        <w:t>Ex vivo</w:t>
      </w:r>
      <w:r w:rsidR="002D1DCD" w:rsidRPr="008138BA">
        <w:t xml:space="preserve"> latency </w:t>
      </w:r>
      <w:r w:rsidR="002D1DCD" w:rsidRPr="008138BA">
        <w:lastRenderedPageBreak/>
        <w:t>reversing assay</w:t>
      </w:r>
      <w:r w:rsidR="002D1DCD">
        <w:t xml:space="preserve"> was performed in which</w:t>
      </w:r>
      <w:r w:rsidR="002D1DCD" w:rsidRPr="008138BA">
        <w:t xml:space="preserve"> </w:t>
      </w:r>
      <w:r w:rsidR="002D1DCD">
        <w:t>s</w:t>
      </w:r>
      <w:r w:rsidR="002D1DCD" w:rsidRPr="008138BA">
        <w:t>orted autologous CD4</w:t>
      </w:r>
      <w:r w:rsidR="002D1DCD" w:rsidRPr="008138BA">
        <w:rPr>
          <w:vertAlign w:val="superscript"/>
        </w:rPr>
        <w:t>+</w:t>
      </w:r>
      <w:r w:rsidR="002D1DCD" w:rsidRPr="008138BA">
        <w:t xml:space="preserve"> and CD8</w:t>
      </w:r>
      <w:r w:rsidR="002D1DCD" w:rsidRPr="008138BA">
        <w:rPr>
          <w:vertAlign w:val="superscript"/>
        </w:rPr>
        <w:t>+</w:t>
      </w:r>
      <w:r w:rsidR="002D1DCD" w:rsidRPr="008138BA">
        <w:t xml:space="preserve"> T cells from peripheral blood mononuclear cells (PBMCs) of antiretroviral therapy (ART)-treated donors were co-cultured (1:1) and treated with N6/αCD3-αCD28 or control constructs in the presence of ART for 7 days without the addition of any other cytokines or stimuli. On day 3, 5, and 7, cells from the co-culture were collected and assessed for the </w:t>
      </w:r>
      <w:r w:rsidR="00274763">
        <w:rPr>
          <w:bCs/>
        </w:rPr>
        <w:t>a</w:t>
      </w:r>
      <w:r w:rsidR="00274763" w:rsidRPr="008138BA">
        <w:t xml:space="preserve">ctivation </w:t>
      </w:r>
      <w:r w:rsidR="00274763">
        <w:t xml:space="preserve">and proliferation </w:t>
      </w:r>
      <w:r w:rsidR="00274763" w:rsidRPr="008138BA">
        <w:t xml:space="preserve">of </w:t>
      </w:r>
      <w:proofErr w:type="gramStart"/>
      <w:r w:rsidR="00274763" w:rsidRPr="008138BA">
        <w:t>latently</w:t>
      </w:r>
      <w:r w:rsidR="00274763">
        <w:t>-</w:t>
      </w:r>
      <w:r w:rsidR="00274763" w:rsidRPr="008138BA">
        <w:t>infected</w:t>
      </w:r>
      <w:proofErr w:type="gramEnd"/>
      <w:r w:rsidR="00274763" w:rsidRPr="008138BA">
        <w:t xml:space="preserve"> CD4</w:t>
      </w:r>
      <w:r w:rsidR="00274763" w:rsidRPr="008138BA">
        <w:rPr>
          <w:vertAlign w:val="superscript"/>
        </w:rPr>
        <w:t>+</w:t>
      </w:r>
      <w:r w:rsidR="00274763" w:rsidRPr="008138BA">
        <w:t xml:space="preserve"> and CD8</w:t>
      </w:r>
      <w:r w:rsidR="00274763" w:rsidRPr="008138BA">
        <w:rPr>
          <w:vertAlign w:val="superscript"/>
        </w:rPr>
        <w:t>+</w:t>
      </w:r>
      <w:r w:rsidR="00274763" w:rsidRPr="008138BA">
        <w:t xml:space="preserve"> T cells </w:t>
      </w:r>
      <w:r w:rsidR="002D1DCD" w:rsidRPr="008138BA">
        <w:t>by flowcytometry.  The CD4</w:t>
      </w:r>
      <w:r w:rsidR="002D1DCD" w:rsidRPr="008138BA">
        <w:rPr>
          <w:vertAlign w:val="superscript"/>
        </w:rPr>
        <w:t>+</w:t>
      </w:r>
      <w:r w:rsidR="002D1DCD" w:rsidRPr="008138BA">
        <w:t xml:space="preserve"> and CD8</w:t>
      </w:r>
      <w:r w:rsidR="002D1DCD" w:rsidRPr="008138BA">
        <w:rPr>
          <w:vertAlign w:val="superscript"/>
        </w:rPr>
        <w:t>+</w:t>
      </w:r>
      <w:r w:rsidR="002D1DCD" w:rsidRPr="008138BA">
        <w:t xml:space="preserve"> T cells were stained with antibodies against CD69</w:t>
      </w:r>
      <w:r w:rsidR="002D1DCD">
        <w:t>, Ki67, granzyme B and viability marker</w:t>
      </w:r>
      <w:r w:rsidR="002D1DCD" w:rsidRPr="008138BA">
        <w:t xml:space="preserve">, and the percentage of </w:t>
      </w:r>
      <w:r w:rsidR="00274763">
        <w:t xml:space="preserve">lived/dead </w:t>
      </w:r>
      <w:r w:rsidR="00274763" w:rsidRPr="00274763">
        <w:rPr>
          <w:b/>
          <w:bCs/>
        </w:rPr>
        <w:t xml:space="preserve">(A) </w:t>
      </w:r>
      <w:r w:rsidR="002D1DCD">
        <w:t xml:space="preserve">and </w:t>
      </w:r>
      <w:r w:rsidR="00274763">
        <w:t xml:space="preserve">activated </w:t>
      </w:r>
      <w:r w:rsidR="002D1DCD">
        <w:t xml:space="preserve">proliferating </w:t>
      </w:r>
      <w:r w:rsidR="00274763" w:rsidRPr="008138BA">
        <w:rPr>
          <w:b/>
        </w:rPr>
        <w:t>(B)</w:t>
      </w:r>
      <w:r w:rsidR="00274763">
        <w:rPr>
          <w:b/>
        </w:rPr>
        <w:t xml:space="preserve"> </w:t>
      </w:r>
      <w:r w:rsidR="002D1DCD" w:rsidRPr="008138BA">
        <w:t>CD4</w:t>
      </w:r>
      <w:r w:rsidR="002D1DCD" w:rsidRPr="008138BA">
        <w:rPr>
          <w:vertAlign w:val="superscript"/>
        </w:rPr>
        <w:t>+</w:t>
      </w:r>
      <w:r w:rsidR="002D1DCD" w:rsidRPr="008138BA">
        <w:t xml:space="preserve"> and CD8</w:t>
      </w:r>
      <w:r w:rsidR="002D1DCD" w:rsidRPr="008138BA">
        <w:rPr>
          <w:vertAlign w:val="superscript"/>
        </w:rPr>
        <w:t>+</w:t>
      </w:r>
      <w:r w:rsidR="002D1DCD" w:rsidRPr="008138BA">
        <w:t xml:space="preserve"> T cells w</w:t>
      </w:r>
      <w:r w:rsidR="002D1DCD">
        <w:t>ere</w:t>
      </w:r>
      <w:r w:rsidR="002D1DCD" w:rsidRPr="008138BA">
        <w:t xml:space="preserve"> measured using flow cytometry</w:t>
      </w:r>
      <w:r w:rsidR="00274763">
        <w:rPr>
          <w:b/>
        </w:rPr>
        <w:t>.</w:t>
      </w:r>
    </w:p>
    <w:p w14:paraId="65D6655B" w14:textId="77777777" w:rsidR="002A2F13" w:rsidRDefault="002A2F13" w:rsidP="002A2F13">
      <w:pPr>
        <w:spacing w:line="480" w:lineRule="auto"/>
      </w:pPr>
    </w:p>
    <w:p w14:paraId="6CFB4379" w14:textId="77777777" w:rsidR="002A2F13" w:rsidRDefault="002A2F13" w:rsidP="002A2F13">
      <w:pPr>
        <w:spacing w:line="480" w:lineRule="auto"/>
        <w:rPr>
          <w:b/>
          <w:bCs/>
        </w:rPr>
      </w:pPr>
      <w:r>
        <w:rPr>
          <w:b/>
          <w:bCs/>
        </w:rPr>
        <w:br w:type="column"/>
      </w:r>
      <w:r>
        <w:rPr>
          <w:b/>
          <w:bCs/>
          <w:noProof/>
        </w:rPr>
        <w:lastRenderedPageBreak/>
        <w:drawing>
          <wp:inline distT="0" distB="0" distL="0" distR="0" wp14:anchorId="62292CD8" wp14:editId="1853CDA5">
            <wp:extent cx="6549891" cy="5124450"/>
            <wp:effectExtent l="0" t="0" r="3810" b="0"/>
            <wp:docPr id="3" name="Picture 3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iagram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7231" cy="5130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7CFA" w14:textId="77777777" w:rsidR="002A2F13" w:rsidRDefault="002A2F13" w:rsidP="002A2F13">
      <w:pPr>
        <w:spacing w:line="480" w:lineRule="auto"/>
        <w:rPr>
          <w:b/>
          <w:bCs/>
        </w:rPr>
      </w:pPr>
    </w:p>
    <w:p w14:paraId="6AFFC5B8" w14:textId="191B7CBD" w:rsidR="000F0FFC" w:rsidRDefault="002A2F13" w:rsidP="00446504">
      <w:pPr>
        <w:spacing w:line="480" w:lineRule="auto"/>
        <w:jc w:val="both"/>
      </w:pPr>
      <w:r w:rsidRPr="008138BA">
        <w:rPr>
          <w:b/>
          <w:bCs/>
        </w:rPr>
        <w:t xml:space="preserve">Supplemental Figure </w:t>
      </w:r>
      <w:r>
        <w:rPr>
          <w:b/>
          <w:bCs/>
        </w:rPr>
        <w:t xml:space="preserve">3. </w:t>
      </w:r>
      <w:r w:rsidR="000F0FFC" w:rsidRPr="000F0FFC">
        <w:rPr>
          <w:b/>
          <w:bCs/>
          <w:i/>
          <w:iCs/>
        </w:rPr>
        <w:t>In vivo</w:t>
      </w:r>
      <w:r w:rsidR="000F0FFC">
        <w:rPr>
          <w:b/>
          <w:bCs/>
        </w:rPr>
        <w:t xml:space="preserve"> administration of </w:t>
      </w:r>
      <w:r w:rsidR="000F0FFC" w:rsidRPr="008138BA">
        <w:rPr>
          <w:b/>
          <w:bCs/>
        </w:rPr>
        <w:t xml:space="preserve">N6/αCD3-αCD28 </w:t>
      </w:r>
      <w:r w:rsidR="000F0FFC">
        <w:rPr>
          <w:b/>
          <w:bCs/>
        </w:rPr>
        <w:t xml:space="preserve">results in redistribution of periphery immune cells of </w:t>
      </w:r>
      <w:r w:rsidR="000F0FFC" w:rsidRPr="000F0FFC">
        <w:rPr>
          <w:b/>
          <w:bCs/>
        </w:rPr>
        <w:t>naive rhesus macaques.</w:t>
      </w:r>
      <w:r w:rsidR="000F0FFC">
        <w:rPr>
          <w:b/>
          <w:bCs/>
        </w:rPr>
        <w:t xml:space="preserve"> (A) </w:t>
      </w:r>
      <w:r w:rsidRPr="00590661">
        <w:t>Gating strategy for flow cytometry analysis of whole blood staining to evaluate immune cell redistribution in periphery.</w:t>
      </w:r>
      <w:r w:rsidR="000F0FFC">
        <w:t xml:space="preserve"> </w:t>
      </w:r>
      <w:r w:rsidR="000F0FFC" w:rsidRPr="000F0FFC">
        <w:rPr>
          <w:b/>
          <w:bCs/>
        </w:rPr>
        <w:t>(B)</w:t>
      </w:r>
      <w:r w:rsidR="000F0FFC">
        <w:t xml:space="preserve"> </w:t>
      </w:r>
      <w:r w:rsidR="000F0FFC">
        <w:rPr>
          <w:bCs/>
        </w:rPr>
        <w:t xml:space="preserve">Flow cytometry </w:t>
      </w:r>
      <w:r w:rsidR="000F0FFC" w:rsidRPr="008A0A5B">
        <w:rPr>
          <w:bCs/>
        </w:rPr>
        <w:t>immunophenotyping analysis</w:t>
      </w:r>
      <w:r w:rsidR="000F0FFC" w:rsidRPr="000F0FFC">
        <w:t xml:space="preserve"> </w:t>
      </w:r>
      <w:r w:rsidR="000F0FFC">
        <w:t xml:space="preserve">showing transient distribution of circulating immune cell subsets following administration of </w:t>
      </w:r>
      <w:r w:rsidR="000F0FFC" w:rsidRPr="000F0FFC">
        <w:t>N6/αCD3-αCD28 via</w:t>
      </w:r>
      <w:r w:rsidR="000F0FFC">
        <w:rPr>
          <w:b/>
          <w:bCs/>
        </w:rPr>
        <w:t xml:space="preserve"> </w:t>
      </w:r>
      <w:r w:rsidR="000F0FFC" w:rsidRPr="00203A00">
        <w:t>intravenous or subcutaneous</w:t>
      </w:r>
      <w:r w:rsidR="000F0FFC">
        <w:t xml:space="preserve"> at the dose</w:t>
      </w:r>
      <w:r w:rsidR="000F0FFC" w:rsidRPr="00203A00">
        <w:t xml:space="preserve"> </w:t>
      </w:r>
      <w:r w:rsidR="000F0FFC">
        <w:t xml:space="preserve">of </w:t>
      </w:r>
      <w:r w:rsidR="000F0FFC" w:rsidRPr="00203A00">
        <w:t>20 µg kg</w:t>
      </w:r>
      <w:r w:rsidR="000F0FFC" w:rsidRPr="00136DE2">
        <w:rPr>
          <w:vertAlign w:val="superscript"/>
        </w:rPr>
        <w:t>-1</w:t>
      </w:r>
      <w:r w:rsidR="000F0FFC" w:rsidRPr="00203A00">
        <w:t xml:space="preserve"> or 100 µg kg</w:t>
      </w:r>
      <w:r w:rsidR="000F0FFC" w:rsidRPr="00136DE2">
        <w:rPr>
          <w:vertAlign w:val="superscript"/>
        </w:rPr>
        <w:t>-1</w:t>
      </w:r>
    </w:p>
    <w:p w14:paraId="0562CB4F" w14:textId="77777777" w:rsidR="002A2F13" w:rsidRDefault="002A2F13" w:rsidP="002A2F13">
      <w:pPr>
        <w:spacing w:line="480" w:lineRule="auto"/>
      </w:pPr>
      <w:bookmarkStart w:id="1" w:name="OLE_LINK12"/>
      <w:r>
        <w:br w:type="column"/>
      </w:r>
      <w:r>
        <w:rPr>
          <w:noProof/>
        </w:rPr>
        <w:lastRenderedPageBreak/>
        <w:drawing>
          <wp:inline distT="0" distB="0" distL="0" distR="0" wp14:anchorId="01DB505E" wp14:editId="55A6DF2B">
            <wp:extent cx="5943600" cy="6781165"/>
            <wp:effectExtent l="0" t="0" r="0" b="635"/>
            <wp:docPr id="72" name="Picture 7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 descr="Diagram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781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"/>
    <w:p w14:paraId="3A1E4F65" w14:textId="77777777" w:rsidR="002A2F13" w:rsidRDefault="002A2F13" w:rsidP="002A2F13">
      <w:pPr>
        <w:spacing w:line="480" w:lineRule="auto"/>
      </w:pPr>
    </w:p>
    <w:p w14:paraId="37D8AA49" w14:textId="63E2D57B" w:rsidR="002A2F13" w:rsidRPr="008138BA" w:rsidRDefault="002A2F13" w:rsidP="006F140A">
      <w:pPr>
        <w:spacing w:line="480" w:lineRule="auto"/>
        <w:jc w:val="both"/>
      </w:pPr>
      <w:r w:rsidRPr="008138BA">
        <w:rPr>
          <w:b/>
          <w:bCs/>
        </w:rPr>
        <w:t xml:space="preserve">Supplemental Figure </w:t>
      </w:r>
      <w:r>
        <w:rPr>
          <w:b/>
          <w:bCs/>
        </w:rPr>
        <w:t>4</w:t>
      </w:r>
      <w:r w:rsidRPr="008138BA">
        <w:rPr>
          <w:b/>
          <w:bCs/>
        </w:rPr>
        <w:t>.</w:t>
      </w:r>
      <w:r w:rsidRPr="008138BA">
        <w:t xml:space="preserve"> </w:t>
      </w:r>
      <w:r w:rsidRPr="00590661">
        <w:t>Gating strategy for quantitative tissue spatial analysis</w:t>
      </w:r>
      <w:r w:rsidR="001F1C53">
        <w:t xml:space="preserve"> </w:t>
      </w:r>
      <w:r w:rsidR="001F1C53" w:rsidRPr="00590661">
        <w:t xml:space="preserve">to </w:t>
      </w:r>
      <w:r w:rsidR="001F1C53" w:rsidRPr="00203A00">
        <w:t>characteriz</w:t>
      </w:r>
      <w:r w:rsidR="001F1C53">
        <w:t>e</w:t>
      </w:r>
      <w:r w:rsidR="001F1C53" w:rsidRPr="00203A00">
        <w:t xml:space="preserve"> how</w:t>
      </w:r>
      <w:r w:rsidR="001F1C53" w:rsidRPr="00203A00">
        <w:rPr>
          <w:i/>
          <w:iCs/>
        </w:rPr>
        <w:t xml:space="preserve"> </w:t>
      </w:r>
      <w:r w:rsidR="001F1C53" w:rsidRPr="00203A00">
        <w:t>the N6/αCD3-αCD28 administered subcutaneously stimulated cell proliferation/late immune activation via Ki67 activation in lymph node tissue</w:t>
      </w:r>
      <w:r w:rsidR="006F140A">
        <w:t>.</w:t>
      </w:r>
      <w:r>
        <w:br w:type="column"/>
      </w:r>
      <w:r w:rsidR="00601B1B">
        <w:rPr>
          <w:noProof/>
        </w:rPr>
        <w:object w:dxaOrig="8330" w:dyaOrig="7301" w14:anchorId="58D00C04">
          <v:shape id="_x0000_i1027" type="#_x0000_t75" alt="" style="width:532.55pt;height:470.7pt;mso-width-percent:0;mso-height-percent:0;mso-width-percent:0;mso-height-percent:0" o:ole="">
            <v:imagedata r:id="rId10" o:title=""/>
          </v:shape>
          <o:OLEObject Type="Embed" ProgID="Prism9.Document" ShapeID="_x0000_i1027" DrawAspect="Content" ObjectID="_1720877014" r:id="rId11"/>
        </w:object>
      </w:r>
    </w:p>
    <w:p w14:paraId="6F576A41" w14:textId="72CAF3A4" w:rsidR="00900F30" w:rsidRPr="00203A00" w:rsidRDefault="002A2F13" w:rsidP="00900F30">
      <w:pPr>
        <w:spacing w:line="480" w:lineRule="auto"/>
        <w:jc w:val="both"/>
      </w:pPr>
      <w:bookmarkStart w:id="2" w:name="OLE_LINK13"/>
      <w:r w:rsidRPr="008138BA">
        <w:rPr>
          <w:b/>
          <w:bCs/>
        </w:rPr>
        <w:t xml:space="preserve">Supplemental Figure </w:t>
      </w:r>
      <w:r>
        <w:rPr>
          <w:b/>
          <w:bCs/>
        </w:rPr>
        <w:t>5</w:t>
      </w:r>
      <w:r w:rsidRPr="008138BA">
        <w:rPr>
          <w:b/>
          <w:bCs/>
        </w:rPr>
        <w:t>.</w:t>
      </w:r>
      <w:r w:rsidRPr="008138BA">
        <w:t xml:space="preserve"> </w:t>
      </w:r>
      <w:r w:rsidR="00601B1B" w:rsidRPr="00601B1B">
        <w:rPr>
          <w:b/>
          <w:bCs/>
        </w:rPr>
        <w:t>Immune activation in lymph nodes of naïve rhesus macaques after subcutaneous administration N6/αCD3-αCD28 using multiplexed confocal imaging.</w:t>
      </w:r>
      <w:r w:rsidR="00601B1B" w:rsidRPr="008138BA">
        <w:t xml:space="preserve"> </w:t>
      </w:r>
      <w:r w:rsidR="00900F30" w:rsidRPr="008138BA">
        <w:t xml:space="preserve">Quantification of </w:t>
      </w:r>
      <w:r w:rsidR="00900F30">
        <w:t>Ki67-activated</w:t>
      </w:r>
      <w:r w:rsidR="00900F30" w:rsidRPr="008138BA">
        <w:t xml:space="preserve"> </w:t>
      </w:r>
      <w:r w:rsidR="00900F30">
        <w:t>CD3</w:t>
      </w:r>
      <w:r w:rsidR="00900F30" w:rsidRPr="00900F30">
        <w:rPr>
          <w:vertAlign w:val="superscript"/>
        </w:rPr>
        <w:t>+</w:t>
      </w:r>
      <w:r w:rsidR="00900F30">
        <w:t xml:space="preserve"> T cells, CD4</w:t>
      </w:r>
      <w:r w:rsidR="00900F30" w:rsidRPr="00900F30">
        <w:rPr>
          <w:vertAlign w:val="superscript"/>
        </w:rPr>
        <w:t>+</w:t>
      </w:r>
      <w:r w:rsidR="00900F30" w:rsidRPr="00900F30">
        <w:t xml:space="preserve"> </w:t>
      </w:r>
      <w:r w:rsidR="00900F30">
        <w:t>T cells and CD8</w:t>
      </w:r>
      <w:r w:rsidR="00900F30" w:rsidRPr="00900F30">
        <w:rPr>
          <w:vertAlign w:val="superscript"/>
        </w:rPr>
        <w:t>+</w:t>
      </w:r>
      <w:r w:rsidR="00900F30" w:rsidRPr="00900F30">
        <w:t xml:space="preserve"> </w:t>
      </w:r>
      <w:r w:rsidR="00900F30">
        <w:t>T cells</w:t>
      </w:r>
      <w:r w:rsidR="00900F30" w:rsidRPr="008138BA">
        <w:t xml:space="preserve"> normalized to whole lymph node area (mm</w:t>
      </w:r>
      <w:r w:rsidR="00900F30" w:rsidRPr="008138BA">
        <w:rPr>
          <w:vertAlign w:val="superscript"/>
        </w:rPr>
        <w:t>2</w:t>
      </w:r>
      <w:r w:rsidR="00900F30" w:rsidRPr="008138BA">
        <w:t>)</w:t>
      </w:r>
      <w:r w:rsidR="00900F30">
        <w:t xml:space="preserve"> </w:t>
      </w:r>
      <w:r w:rsidR="00601B1B" w:rsidRPr="008138BA">
        <w:rPr>
          <w:rFonts w:eastAsiaTheme="minorHAnsi"/>
          <w:color w:val="000000"/>
        </w:rPr>
        <w:t xml:space="preserve">from </w:t>
      </w:r>
      <w:r w:rsidR="00601B1B" w:rsidRPr="008138BA">
        <w:t xml:space="preserve">animals received </w:t>
      </w:r>
      <w:r w:rsidR="00601B1B" w:rsidRPr="00BE31A2">
        <w:t>N6/αCD3-αCD28</w:t>
      </w:r>
      <w:r w:rsidR="00601B1B">
        <w:t xml:space="preserve"> </w:t>
      </w:r>
      <w:r w:rsidR="00601B1B" w:rsidRPr="008138BA">
        <w:t>via subcutaneous administration at 20ug kg</w:t>
      </w:r>
      <w:r w:rsidR="00601B1B" w:rsidRPr="008138BA">
        <w:rPr>
          <w:vertAlign w:val="superscript"/>
        </w:rPr>
        <w:t>-1</w:t>
      </w:r>
      <w:r w:rsidR="00601B1B" w:rsidRPr="008138BA">
        <w:t xml:space="preserve"> and 100ug kg</w:t>
      </w:r>
      <w:r w:rsidR="00601B1B" w:rsidRPr="008138BA">
        <w:rPr>
          <w:vertAlign w:val="superscript"/>
        </w:rPr>
        <w:t>-1</w:t>
      </w:r>
      <w:r w:rsidR="00900F30">
        <w:rPr>
          <w:rFonts w:eastAsiaTheme="minorHAnsi"/>
          <w:color w:val="000000"/>
        </w:rPr>
        <w:t xml:space="preserve"> </w:t>
      </w:r>
      <w:r w:rsidR="00601B1B" w:rsidRPr="008138BA">
        <w:t xml:space="preserve">on days-7, 1 and day 14 post </w:t>
      </w:r>
      <w:r w:rsidR="008E436D">
        <w:t>antibody</w:t>
      </w:r>
      <w:r w:rsidR="00900F30">
        <w:t xml:space="preserve"> are</w:t>
      </w:r>
      <w:r w:rsidR="00601B1B" w:rsidRPr="008138BA">
        <w:t xml:space="preserve"> shown.</w:t>
      </w:r>
      <w:r w:rsidR="00900F30">
        <w:t xml:space="preserve"> </w:t>
      </w:r>
      <w:r w:rsidR="00900F30" w:rsidRPr="00203A00">
        <w:rPr>
          <w:rFonts w:eastAsiaTheme="minorHAnsi"/>
          <w:lang w:bidi="ar-SA"/>
        </w:rPr>
        <w:t>Ki67-activated CD8</w:t>
      </w:r>
      <w:r w:rsidR="00900F30" w:rsidRPr="00203A00">
        <w:rPr>
          <w:rFonts w:eastAsiaTheme="minorHAnsi"/>
          <w:vertAlign w:val="superscript"/>
          <w:lang w:bidi="ar-SA"/>
        </w:rPr>
        <w:t>+</w:t>
      </w:r>
      <w:r w:rsidR="00900F30" w:rsidRPr="00203A00">
        <w:rPr>
          <w:rFonts w:eastAsiaTheme="minorHAnsi"/>
          <w:lang w:bidi="ar-SA"/>
        </w:rPr>
        <w:t xml:space="preserve"> </w:t>
      </w:r>
      <w:r w:rsidR="00900F30" w:rsidRPr="00203A00">
        <w:rPr>
          <w:rFonts w:eastAsiaTheme="minorHAnsi"/>
          <w:lang w:bidi="ar-SA"/>
        </w:rPr>
        <w:lastRenderedPageBreak/>
        <w:t>T cells were significantly induced in the follicular area at day 14</w:t>
      </w:r>
      <w:r w:rsidR="00900F30">
        <w:rPr>
          <w:rFonts w:eastAsiaTheme="minorHAnsi"/>
          <w:lang w:bidi="ar-SA"/>
        </w:rPr>
        <w:t xml:space="preserve"> </w:t>
      </w:r>
      <w:r w:rsidR="00900F30" w:rsidRPr="00203A00">
        <w:rPr>
          <w:rFonts w:eastAsiaTheme="minorHAnsi"/>
          <w:lang w:bidi="ar-SA"/>
        </w:rPr>
        <w:t xml:space="preserve">in the animals administered the </w:t>
      </w:r>
      <w:proofErr w:type="gramStart"/>
      <w:r w:rsidR="00900F30" w:rsidRPr="00203A00">
        <w:t>100 µg</w:t>
      </w:r>
      <w:proofErr w:type="gramEnd"/>
      <w:r w:rsidR="00900F30" w:rsidRPr="00203A00">
        <w:t xml:space="preserve"> kg</w:t>
      </w:r>
      <w:r w:rsidR="00900F30" w:rsidRPr="00136DE2">
        <w:rPr>
          <w:vertAlign w:val="superscript"/>
        </w:rPr>
        <w:t>-1</w:t>
      </w:r>
      <w:r w:rsidR="00900F30" w:rsidRPr="00203A00">
        <w:t xml:space="preserve"> dose compared to those that received 20 µg kg</w:t>
      </w:r>
      <w:r w:rsidR="00900F30" w:rsidRPr="00136DE2">
        <w:rPr>
          <w:vertAlign w:val="superscript"/>
        </w:rPr>
        <w:t>-1</w:t>
      </w:r>
      <w:r w:rsidR="00900F30" w:rsidRPr="00203A00">
        <w:t xml:space="preserve"> dose</w:t>
      </w:r>
      <w:r w:rsidR="00900F30">
        <w:t>.</w:t>
      </w:r>
    </w:p>
    <w:p w14:paraId="0E098F22" w14:textId="079423F2" w:rsidR="002A2F13" w:rsidRPr="00950BDE" w:rsidRDefault="002A2F13" w:rsidP="002A2F13">
      <w:pPr>
        <w:spacing w:line="480" w:lineRule="auto"/>
      </w:pPr>
    </w:p>
    <w:p w14:paraId="1FC4D250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  <w:color w:val="000000"/>
        </w:rPr>
      </w:pPr>
    </w:p>
    <w:p w14:paraId="5CC4FB10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</w:rPr>
      </w:pPr>
    </w:p>
    <w:p w14:paraId="0BE070E7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</w:rPr>
      </w:pPr>
    </w:p>
    <w:p w14:paraId="3C580A76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</w:rPr>
      </w:pPr>
    </w:p>
    <w:p w14:paraId="189621B8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</w:rPr>
      </w:pPr>
    </w:p>
    <w:p w14:paraId="529842F2" w14:textId="77777777" w:rsidR="002A2F13" w:rsidRPr="008138BA" w:rsidRDefault="002A2F13" w:rsidP="002A2F13">
      <w:pPr>
        <w:spacing w:line="480" w:lineRule="auto"/>
      </w:pPr>
    </w:p>
    <w:bookmarkEnd w:id="2"/>
    <w:p w14:paraId="364D131C" w14:textId="77777777" w:rsidR="002A2F13" w:rsidRPr="009B0E09" w:rsidRDefault="002A2F13" w:rsidP="002A2F13">
      <w:pPr>
        <w:spacing w:line="480" w:lineRule="auto"/>
      </w:pPr>
    </w:p>
    <w:p w14:paraId="45E2E0CE" w14:textId="77777777" w:rsidR="002A2F13" w:rsidRPr="008138BA" w:rsidRDefault="002A2F13" w:rsidP="002A2F13">
      <w:pPr>
        <w:autoSpaceDE w:val="0"/>
        <w:autoSpaceDN w:val="0"/>
        <w:adjustRightInd w:val="0"/>
        <w:spacing w:line="480" w:lineRule="auto"/>
        <w:rPr>
          <w:b/>
        </w:rPr>
      </w:pPr>
      <w:r>
        <w:rPr>
          <w:b/>
        </w:rPr>
        <w:br w:type="column"/>
      </w:r>
      <w:r w:rsidRPr="008138BA">
        <w:rPr>
          <w:b/>
        </w:rPr>
        <w:lastRenderedPageBreak/>
        <w:t>SUPPLEMENTAL TABLES</w:t>
      </w:r>
    </w:p>
    <w:p w14:paraId="2BD70B30" w14:textId="40D9E12D" w:rsidR="002A2F13" w:rsidRDefault="002A2F13" w:rsidP="002A2F13">
      <w:pPr>
        <w:autoSpaceDE w:val="0"/>
        <w:autoSpaceDN w:val="0"/>
        <w:adjustRightInd w:val="0"/>
        <w:spacing w:line="480" w:lineRule="auto"/>
        <w:rPr>
          <w:rFonts w:eastAsiaTheme="minorHAnsi"/>
          <w:b/>
          <w:bCs/>
          <w:color w:val="000000"/>
        </w:rPr>
      </w:pPr>
      <w:r w:rsidRPr="008138BA">
        <w:rPr>
          <w:b/>
        </w:rPr>
        <w:t xml:space="preserve">Supplementary Table </w:t>
      </w:r>
      <w:r>
        <w:rPr>
          <w:b/>
        </w:rPr>
        <w:t>1</w:t>
      </w:r>
      <w:r w:rsidRPr="008138BA">
        <w:rPr>
          <w:b/>
        </w:rPr>
        <w:t xml:space="preserve">. </w:t>
      </w:r>
      <w:r>
        <w:rPr>
          <w:rFonts w:eastAsiaTheme="minorHAnsi"/>
          <w:b/>
          <w:bCs/>
          <w:color w:val="000000"/>
        </w:rPr>
        <w:t>HIV-1 infected donors on anti-retroviral therapy</w:t>
      </w:r>
    </w:p>
    <w:tbl>
      <w:tblPr>
        <w:tblStyle w:val="TableGrid"/>
        <w:tblW w:w="10705" w:type="dxa"/>
        <w:jc w:val="center"/>
        <w:tblLook w:val="04A0" w:firstRow="1" w:lastRow="0" w:firstColumn="1" w:lastColumn="0" w:noHBand="0" w:noVBand="1"/>
      </w:tblPr>
      <w:tblGrid>
        <w:gridCol w:w="870"/>
        <w:gridCol w:w="1164"/>
        <w:gridCol w:w="1163"/>
        <w:gridCol w:w="2937"/>
        <w:gridCol w:w="1190"/>
        <w:gridCol w:w="1851"/>
        <w:gridCol w:w="1530"/>
      </w:tblGrid>
      <w:tr w:rsidR="00C11C8D" w:rsidRPr="00C11C8D" w14:paraId="14A2AAEE" w14:textId="77777777" w:rsidTr="00365A2D">
        <w:trPr>
          <w:jc w:val="center"/>
        </w:trPr>
        <w:tc>
          <w:tcPr>
            <w:tcW w:w="870" w:type="dxa"/>
            <w:vAlign w:val="center"/>
          </w:tcPr>
          <w:p w14:paraId="0CEC6240" w14:textId="61D6DA38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Donor</w:t>
            </w:r>
          </w:p>
        </w:tc>
        <w:tc>
          <w:tcPr>
            <w:tcW w:w="1164" w:type="dxa"/>
            <w:vAlign w:val="center"/>
          </w:tcPr>
          <w:p w14:paraId="6381E5FF" w14:textId="57D3FD1D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Year of HIV diagnosis</w:t>
            </w:r>
          </w:p>
        </w:tc>
        <w:tc>
          <w:tcPr>
            <w:tcW w:w="1163" w:type="dxa"/>
            <w:vAlign w:val="center"/>
          </w:tcPr>
          <w:p w14:paraId="0961630C" w14:textId="20E211FC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Year started therapy</w:t>
            </w:r>
          </w:p>
        </w:tc>
        <w:tc>
          <w:tcPr>
            <w:tcW w:w="2937" w:type="dxa"/>
            <w:vAlign w:val="center"/>
          </w:tcPr>
          <w:p w14:paraId="78217D0D" w14:textId="07D0B432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ARVs</w:t>
            </w:r>
          </w:p>
        </w:tc>
        <w:tc>
          <w:tcPr>
            <w:tcW w:w="1190" w:type="dxa"/>
            <w:vAlign w:val="center"/>
          </w:tcPr>
          <w:p w14:paraId="37C756AE" w14:textId="4EE76C14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Day of visit</w:t>
            </w:r>
          </w:p>
        </w:tc>
        <w:tc>
          <w:tcPr>
            <w:tcW w:w="1851" w:type="dxa"/>
            <w:vAlign w:val="center"/>
          </w:tcPr>
          <w:p w14:paraId="75552DE5" w14:textId="7E6CC734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CD4 T cell count/l of blood</w:t>
            </w:r>
          </w:p>
        </w:tc>
        <w:tc>
          <w:tcPr>
            <w:tcW w:w="1530" w:type="dxa"/>
            <w:vAlign w:val="center"/>
          </w:tcPr>
          <w:p w14:paraId="5FCE9E7A" w14:textId="2F1A055F" w:rsidR="00C11C8D" w:rsidRPr="00C11C8D" w:rsidRDefault="00C11C8D" w:rsidP="00C11C8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</w:rPr>
            </w:pPr>
            <w:r w:rsidRPr="00C11C8D">
              <w:rPr>
                <w:rFonts w:eastAsiaTheme="minorHAnsi"/>
                <w:b/>
                <w:bCs/>
              </w:rPr>
              <w:t>Plasma viral load (copies/ml</w:t>
            </w:r>
            <w:r w:rsidR="00365A2D">
              <w:rPr>
                <w:rFonts w:eastAsiaTheme="minorHAnsi"/>
                <w:b/>
                <w:bCs/>
              </w:rPr>
              <w:t>)</w:t>
            </w:r>
          </w:p>
        </w:tc>
      </w:tr>
      <w:tr w:rsidR="00C11C8D" w14:paraId="00C69769" w14:textId="77777777" w:rsidTr="00365A2D">
        <w:trPr>
          <w:jc w:val="center"/>
        </w:trPr>
        <w:tc>
          <w:tcPr>
            <w:tcW w:w="870" w:type="dxa"/>
          </w:tcPr>
          <w:p w14:paraId="3F84228F" w14:textId="0A2327AD" w:rsidR="00C11C8D" w:rsidRDefault="00C11C8D" w:rsidP="002A2F13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</w:t>
            </w:r>
          </w:p>
        </w:tc>
        <w:tc>
          <w:tcPr>
            <w:tcW w:w="1164" w:type="dxa"/>
          </w:tcPr>
          <w:p w14:paraId="4B2EA755" w14:textId="47EA4972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1991</w:t>
            </w:r>
          </w:p>
        </w:tc>
        <w:tc>
          <w:tcPr>
            <w:tcW w:w="1163" w:type="dxa"/>
          </w:tcPr>
          <w:p w14:paraId="57D64A7C" w14:textId="2A64C3B6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Unknown</w:t>
            </w:r>
          </w:p>
        </w:tc>
        <w:tc>
          <w:tcPr>
            <w:tcW w:w="2937" w:type="dxa"/>
          </w:tcPr>
          <w:p w14:paraId="52F45262" w14:textId="08C5AE9F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TAF/FTC/ATV/DTG/COBI</w:t>
            </w:r>
          </w:p>
        </w:tc>
        <w:tc>
          <w:tcPr>
            <w:tcW w:w="1190" w:type="dxa"/>
          </w:tcPr>
          <w:p w14:paraId="0209638E" w14:textId="4B5F2667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7/27/2017</w:t>
            </w:r>
          </w:p>
        </w:tc>
        <w:tc>
          <w:tcPr>
            <w:tcW w:w="1851" w:type="dxa"/>
          </w:tcPr>
          <w:p w14:paraId="3D3CEBEB" w14:textId="5CD15B62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731</w:t>
            </w:r>
          </w:p>
        </w:tc>
        <w:tc>
          <w:tcPr>
            <w:tcW w:w="1530" w:type="dxa"/>
          </w:tcPr>
          <w:p w14:paraId="65336C17" w14:textId="22B36F8A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122</w:t>
            </w:r>
          </w:p>
        </w:tc>
      </w:tr>
      <w:tr w:rsidR="00C11C8D" w14:paraId="6BFDB162" w14:textId="77777777" w:rsidTr="00365A2D">
        <w:trPr>
          <w:jc w:val="center"/>
        </w:trPr>
        <w:tc>
          <w:tcPr>
            <w:tcW w:w="870" w:type="dxa"/>
          </w:tcPr>
          <w:p w14:paraId="5DAB3D95" w14:textId="01B5C15D" w:rsidR="00C11C8D" w:rsidRDefault="00C11C8D" w:rsidP="002A2F13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2</w:t>
            </w:r>
          </w:p>
        </w:tc>
        <w:tc>
          <w:tcPr>
            <w:tcW w:w="1164" w:type="dxa"/>
          </w:tcPr>
          <w:p w14:paraId="0D665DF1" w14:textId="523D6B1D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2012</w:t>
            </w:r>
          </w:p>
        </w:tc>
        <w:tc>
          <w:tcPr>
            <w:tcW w:w="1163" w:type="dxa"/>
          </w:tcPr>
          <w:p w14:paraId="2B2E9934" w14:textId="20803925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Unknown</w:t>
            </w:r>
          </w:p>
        </w:tc>
        <w:tc>
          <w:tcPr>
            <w:tcW w:w="2937" w:type="dxa"/>
          </w:tcPr>
          <w:p w14:paraId="35B831A3" w14:textId="057CD8E1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TAF/FTC/EVG/COBI</w:t>
            </w:r>
          </w:p>
        </w:tc>
        <w:tc>
          <w:tcPr>
            <w:tcW w:w="1190" w:type="dxa"/>
          </w:tcPr>
          <w:p w14:paraId="76551A92" w14:textId="0669AEFB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9/6/2017</w:t>
            </w:r>
          </w:p>
        </w:tc>
        <w:tc>
          <w:tcPr>
            <w:tcW w:w="1851" w:type="dxa"/>
          </w:tcPr>
          <w:p w14:paraId="39E94382" w14:textId="4E2BFC02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752</w:t>
            </w:r>
          </w:p>
        </w:tc>
        <w:tc>
          <w:tcPr>
            <w:tcW w:w="1530" w:type="dxa"/>
          </w:tcPr>
          <w:p w14:paraId="44CF9E6E" w14:textId="550D3959" w:rsidR="00C11C8D" w:rsidRDefault="00C11C8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&lt;</w:t>
            </w:r>
            <w:r w:rsidR="00365A2D">
              <w:rPr>
                <w:rFonts w:eastAsiaTheme="minorHAnsi"/>
              </w:rPr>
              <w:t>20</w:t>
            </w:r>
          </w:p>
        </w:tc>
      </w:tr>
      <w:tr w:rsidR="00C11C8D" w14:paraId="15622103" w14:textId="77777777" w:rsidTr="00365A2D">
        <w:trPr>
          <w:jc w:val="center"/>
        </w:trPr>
        <w:tc>
          <w:tcPr>
            <w:tcW w:w="870" w:type="dxa"/>
          </w:tcPr>
          <w:p w14:paraId="7E8AEB1E" w14:textId="34C7B207" w:rsidR="00C11C8D" w:rsidRDefault="00C11C8D" w:rsidP="002A2F13">
            <w:pPr>
              <w:autoSpaceDE w:val="0"/>
              <w:autoSpaceDN w:val="0"/>
              <w:adjustRightInd w:val="0"/>
              <w:spacing w:line="48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3</w:t>
            </w:r>
          </w:p>
        </w:tc>
        <w:tc>
          <w:tcPr>
            <w:tcW w:w="1164" w:type="dxa"/>
          </w:tcPr>
          <w:p w14:paraId="326ADB1B" w14:textId="57CABD8D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1984</w:t>
            </w:r>
          </w:p>
        </w:tc>
        <w:tc>
          <w:tcPr>
            <w:tcW w:w="1163" w:type="dxa"/>
          </w:tcPr>
          <w:p w14:paraId="4864625D" w14:textId="721D0A78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Unknown</w:t>
            </w:r>
          </w:p>
        </w:tc>
        <w:tc>
          <w:tcPr>
            <w:tcW w:w="2937" w:type="dxa"/>
          </w:tcPr>
          <w:p w14:paraId="4E1E7588" w14:textId="0329570C" w:rsidR="00C11C8D" w:rsidRDefault="00365A2D" w:rsidP="00365A2D">
            <w:pPr>
              <w:tabs>
                <w:tab w:val="left" w:pos="1845"/>
              </w:tabs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ABC/3TC/ATV</w:t>
            </w:r>
          </w:p>
        </w:tc>
        <w:tc>
          <w:tcPr>
            <w:tcW w:w="1190" w:type="dxa"/>
          </w:tcPr>
          <w:p w14:paraId="018FC3E4" w14:textId="4D5AA9A5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 w:rsidRPr="00365A2D">
              <w:rPr>
                <w:rFonts w:eastAsiaTheme="minorHAnsi"/>
              </w:rPr>
              <w:t>6/17/2008</w:t>
            </w:r>
          </w:p>
        </w:tc>
        <w:tc>
          <w:tcPr>
            <w:tcW w:w="1851" w:type="dxa"/>
          </w:tcPr>
          <w:p w14:paraId="035AC15F" w14:textId="63F7629A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352</w:t>
            </w:r>
          </w:p>
        </w:tc>
        <w:tc>
          <w:tcPr>
            <w:tcW w:w="1530" w:type="dxa"/>
          </w:tcPr>
          <w:p w14:paraId="4BB90E30" w14:textId="0AB64EDE" w:rsidR="00C11C8D" w:rsidRDefault="00365A2D" w:rsidP="00365A2D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</w:rPr>
              <w:t>361</w:t>
            </w:r>
          </w:p>
        </w:tc>
      </w:tr>
    </w:tbl>
    <w:p w14:paraId="01A04A1A" w14:textId="77777777" w:rsidR="00C11C8D" w:rsidRPr="00CF169F" w:rsidRDefault="00C11C8D" w:rsidP="002A2F13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</w:p>
    <w:p w14:paraId="73D50DCC" w14:textId="5B9FF025" w:rsidR="002A2F13" w:rsidRPr="008138BA" w:rsidRDefault="0092074E" w:rsidP="002A2F13">
      <w:pPr>
        <w:autoSpaceDE w:val="0"/>
        <w:autoSpaceDN w:val="0"/>
        <w:adjustRightInd w:val="0"/>
        <w:spacing w:line="480" w:lineRule="auto"/>
        <w:rPr>
          <w:rFonts w:eastAsiaTheme="minorHAnsi"/>
        </w:rPr>
      </w:pPr>
      <w:r>
        <w:rPr>
          <w:b/>
        </w:rPr>
        <w:br w:type="column"/>
      </w:r>
      <w:r w:rsidR="002A2F13" w:rsidRPr="008138BA">
        <w:rPr>
          <w:b/>
        </w:rPr>
        <w:lastRenderedPageBreak/>
        <w:t xml:space="preserve">Supplementary Table </w:t>
      </w:r>
      <w:r w:rsidR="002A2F13">
        <w:rPr>
          <w:b/>
        </w:rPr>
        <w:t>2</w:t>
      </w:r>
      <w:r w:rsidR="002A2F13" w:rsidRPr="008138BA">
        <w:rPr>
          <w:b/>
        </w:rPr>
        <w:t>. Antibodies used in flow cytometry</w:t>
      </w:r>
    </w:p>
    <w:tbl>
      <w:tblPr>
        <w:tblW w:w="6700" w:type="dxa"/>
        <w:tblLook w:val="04A0" w:firstRow="1" w:lastRow="0" w:firstColumn="1" w:lastColumn="0" w:noHBand="0" w:noVBand="1"/>
      </w:tblPr>
      <w:tblGrid>
        <w:gridCol w:w="1300"/>
        <w:gridCol w:w="1683"/>
        <w:gridCol w:w="1350"/>
        <w:gridCol w:w="2480"/>
      </w:tblGrid>
      <w:tr w:rsidR="002A2F13" w:rsidRPr="008138BA" w14:paraId="5E77359D" w14:textId="77777777" w:rsidTr="00AE0E6E">
        <w:trPr>
          <w:trHeight w:val="380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F3163" w14:textId="77777777" w:rsidR="002A2F13" w:rsidRPr="008138BA" w:rsidRDefault="002A2F13" w:rsidP="00AE0E6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138BA">
              <w:rPr>
                <w:b/>
                <w:bCs/>
                <w:color w:val="000000"/>
              </w:rPr>
              <w:t>Marker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67A8E" w14:textId="77777777" w:rsidR="002A2F13" w:rsidRPr="008138BA" w:rsidRDefault="002A2F13" w:rsidP="00AE0E6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138BA">
              <w:rPr>
                <w:b/>
                <w:bCs/>
                <w:color w:val="000000"/>
              </w:rPr>
              <w:t>Fluorochrome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88063" w14:textId="77777777" w:rsidR="002A2F13" w:rsidRPr="008138BA" w:rsidRDefault="002A2F13" w:rsidP="00AE0E6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138BA">
              <w:rPr>
                <w:b/>
                <w:bCs/>
                <w:color w:val="000000"/>
              </w:rPr>
              <w:t>Clone</w:t>
            </w:r>
          </w:p>
        </w:tc>
        <w:tc>
          <w:tcPr>
            <w:tcW w:w="2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9237E6" w14:textId="77777777" w:rsidR="002A2F13" w:rsidRPr="008138BA" w:rsidRDefault="002A2F13" w:rsidP="00AE0E6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8138BA">
              <w:rPr>
                <w:b/>
                <w:bCs/>
                <w:color w:val="000000"/>
              </w:rPr>
              <w:t>Supplier</w:t>
            </w:r>
          </w:p>
        </w:tc>
      </w:tr>
      <w:tr w:rsidR="002A2F13" w:rsidRPr="008138BA" w14:paraId="061E66F4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0B7AE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CCR7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5A6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AF700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063E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150503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968FFC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5B13CD65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5F2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F4412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APC-Cy7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256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SP34-2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CEC978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3417380C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7C8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4080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BUV661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5B47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SK3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79EA1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52B073F2" w14:textId="77777777" w:rsidTr="00AE0E6E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DF235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D0E4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BV570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79B8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RPA-T8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A9F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1928B841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CF7A2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4F132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E1D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M5E2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66E7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3255BE16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542E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35E3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BUV496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22C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3G8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50FF1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7AE3E344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A3174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CD16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7F25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93DE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3G8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8FDF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52DBDA17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8F55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16B72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BUV737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3DDC3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2H7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EF6AA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02B2BE0A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A987E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CD20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90871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BV510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5BBC1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2H7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10B9C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24DFFA65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13D75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CD28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F7158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ECD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2486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CD28.2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91DD35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Beckman Coulter</w:t>
            </w:r>
          </w:p>
        </w:tc>
      </w:tr>
      <w:tr w:rsidR="002A2F13" w:rsidRPr="008138BA" w14:paraId="4EDF6A2F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5BAC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CD69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A2B38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BV605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8EA85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FN50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D9CEC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17B3A3AA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9738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CD95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DAF4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PECy5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C9A61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DX2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B6FF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60B89489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A5C11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CD107a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AD19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BV650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675E6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H4A3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75EAA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5D69190F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339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CXCR5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2B2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PECy7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899E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MU5UBEE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56D9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eBioscience</w:t>
            </w:r>
            <w:proofErr w:type="spellEnd"/>
          </w:p>
        </w:tc>
      </w:tr>
      <w:tr w:rsidR="002A2F13" w:rsidRPr="008138BA" w14:paraId="53D2AEC0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35E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DCM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D15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Zombie UV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4B7D4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CE7B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1E3A2EAC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6D00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DCM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81D1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Aqua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1F86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-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3308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Invitrogen</w:t>
            </w:r>
          </w:p>
        </w:tc>
      </w:tr>
      <w:tr w:rsidR="002A2F13" w:rsidRPr="008138BA" w14:paraId="299B0399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3ECC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HLA-DR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EE86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PECy5.5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7B960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TU36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F638D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Life Technologies</w:t>
            </w:r>
          </w:p>
        </w:tc>
      </w:tr>
      <w:tr w:rsidR="002A2F13" w:rsidRPr="008138BA" w14:paraId="6FEAF5FF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C33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IFNγ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35D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FITC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C55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B27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3D3A1B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47CB61BE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C2FD3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MIP-1β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3729E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PE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0DD62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D21-1351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9C51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BD Biosciences</w:t>
            </w:r>
          </w:p>
        </w:tc>
      </w:tr>
      <w:tr w:rsidR="002A2F13" w:rsidRPr="008138BA" w14:paraId="233BD82D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1940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NKG2A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DBB8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APC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D446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REA110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23E47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 xml:space="preserve">MACS </w:t>
            </w:r>
            <w:proofErr w:type="spellStart"/>
            <w:r w:rsidRPr="008138BA">
              <w:rPr>
                <w:color w:val="000000"/>
              </w:rPr>
              <w:t>Miltenyi</w:t>
            </w:r>
            <w:proofErr w:type="spellEnd"/>
            <w:r w:rsidRPr="008138BA">
              <w:rPr>
                <w:color w:val="000000"/>
              </w:rPr>
              <w:t xml:space="preserve"> </w:t>
            </w:r>
            <w:proofErr w:type="spellStart"/>
            <w:r w:rsidRPr="008138BA">
              <w:rPr>
                <w:color w:val="000000"/>
              </w:rPr>
              <w:t>Biotec</w:t>
            </w:r>
            <w:proofErr w:type="spellEnd"/>
          </w:p>
        </w:tc>
      </w:tr>
      <w:tr w:rsidR="002A2F13" w:rsidRPr="008138BA" w14:paraId="2102B43F" w14:textId="77777777" w:rsidTr="00AE0E6E">
        <w:trPr>
          <w:trHeight w:val="32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0FA88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PD-1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8187C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BV711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282A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EH12.2H7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A181E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  <w:tr w:rsidR="002A2F13" w:rsidRPr="008138BA" w14:paraId="575F491C" w14:textId="77777777" w:rsidTr="00AE0E6E">
        <w:trPr>
          <w:trHeight w:val="340"/>
        </w:trPr>
        <w:tc>
          <w:tcPr>
            <w:tcW w:w="13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A9A1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lastRenderedPageBreak/>
              <w:t>TNF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D7009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BV785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FEE7F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r w:rsidRPr="008138BA">
              <w:rPr>
                <w:color w:val="000000"/>
              </w:rPr>
              <w:t>Mab11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AD6743" w14:textId="77777777" w:rsidR="002A2F13" w:rsidRPr="008138BA" w:rsidRDefault="002A2F13" w:rsidP="00AE0E6E">
            <w:pPr>
              <w:spacing w:line="480" w:lineRule="auto"/>
              <w:rPr>
                <w:color w:val="000000"/>
              </w:rPr>
            </w:pPr>
            <w:proofErr w:type="spellStart"/>
            <w:r w:rsidRPr="008138BA">
              <w:rPr>
                <w:color w:val="000000"/>
              </w:rPr>
              <w:t>Biolegend</w:t>
            </w:r>
            <w:proofErr w:type="spellEnd"/>
          </w:p>
        </w:tc>
      </w:tr>
    </w:tbl>
    <w:p w14:paraId="264824F0" w14:textId="6F459FC9" w:rsidR="00DC1F19" w:rsidRPr="009F689B" w:rsidRDefault="00253A7A" w:rsidP="009F689B">
      <w:pPr>
        <w:rPr>
          <w:rFonts w:eastAsiaTheme="minorHAnsi"/>
        </w:rPr>
      </w:pPr>
    </w:p>
    <w:sectPr w:rsidR="00DC1F19" w:rsidRPr="009F689B" w:rsidSect="00BD64D2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F13"/>
    <w:rsid w:val="00087AC9"/>
    <w:rsid w:val="000F0FFC"/>
    <w:rsid w:val="00116FA8"/>
    <w:rsid w:val="00195414"/>
    <w:rsid w:val="001F1C53"/>
    <w:rsid w:val="00222775"/>
    <w:rsid w:val="00253A7A"/>
    <w:rsid w:val="00274763"/>
    <w:rsid w:val="002A2F13"/>
    <w:rsid w:val="002B188C"/>
    <w:rsid w:val="002D1DCD"/>
    <w:rsid w:val="00365A2D"/>
    <w:rsid w:val="00446504"/>
    <w:rsid w:val="00457E41"/>
    <w:rsid w:val="00543486"/>
    <w:rsid w:val="00590661"/>
    <w:rsid w:val="00601B1B"/>
    <w:rsid w:val="006F140A"/>
    <w:rsid w:val="00734CD9"/>
    <w:rsid w:val="00740860"/>
    <w:rsid w:val="008A2E73"/>
    <w:rsid w:val="008E436D"/>
    <w:rsid w:val="00900F30"/>
    <w:rsid w:val="00907320"/>
    <w:rsid w:val="0092074E"/>
    <w:rsid w:val="009F689B"/>
    <w:rsid w:val="00C11C8D"/>
    <w:rsid w:val="00D30737"/>
    <w:rsid w:val="00DA69B1"/>
    <w:rsid w:val="00E46BCB"/>
    <w:rsid w:val="00E8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B4C41"/>
  <w15:chartTrackingRefBased/>
  <w15:docId w15:val="{E3220579-03C3-4234-83A6-7AA5ED03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2A2F13"/>
    <w:rPr>
      <w:rFonts w:ascii="Helvetica" w:eastAsiaTheme="minorHAnsi" w:hAnsi="Helvetica"/>
      <w:sz w:val="18"/>
      <w:szCs w:val="18"/>
      <w:lang w:bidi="ar-SA"/>
    </w:rPr>
  </w:style>
  <w:style w:type="character" w:customStyle="1" w:styleId="s1">
    <w:name w:val="s1"/>
    <w:basedOn w:val="DefaultParagraphFont"/>
    <w:rsid w:val="002A2F13"/>
    <w:rPr>
      <w:rFonts w:ascii="Helvetica" w:hAnsi="Helvetica" w:cs="Helvetica" w:hint="default"/>
      <w:sz w:val="12"/>
      <w:szCs w:val="12"/>
    </w:rPr>
  </w:style>
  <w:style w:type="character" w:customStyle="1" w:styleId="ParagraphChar">
    <w:name w:val="Paragraph Char"/>
    <w:link w:val="Paragraph"/>
    <w:locked/>
    <w:rsid w:val="002A2F13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link w:val="ParagraphChar"/>
    <w:rsid w:val="002A2F13"/>
    <w:pPr>
      <w:spacing w:before="120"/>
      <w:ind w:firstLine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2A2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F13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F13"/>
    <w:rPr>
      <w:rFonts w:ascii="Times New Roman" w:eastAsia="Times New Roman" w:hAnsi="Times New Roman" w:cs="Angsana New"/>
      <w:sz w:val="20"/>
      <w:szCs w:val="25"/>
    </w:rPr>
  </w:style>
  <w:style w:type="character" w:styleId="LineNumber">
    <w:name w:val="line number"/>
    <w:basedOn w:val="DefaultParagraphFont"/>
    <w:uiPriority w:val="99"/>
    <w:semiHidden/>
    <w:unhideWhenUsed/>
    <w:rsid w:val="002A2F13"/>
  </w:style>
  <w:style w:type="table" w:styleId="TableGrid">
    <w:name w:val="Table Grid"/>
    <w:basedOn w:val="TableNormal"/>
    <w:uiPriority w:val="39"/>
    <w:rsid w:val="00C11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1DC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0F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0FFC"/>
    <w:rPr>
      <w:rFonts w:ascii="Times New Roman" w:eastAsia="Times New Roman" w:hAnsi="Times New Roman" w:cs="Angsana New"/>
      <w:b/>
      <w:bCs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3.bin"/><Relationship Id="rId5" Type="http://schemas.openxmlformats.org/officeDocument/2006/relationships/oleObject" Target="embeddings/oleObject1.bin"/><Relationship Id="rId10" Type="http://schemas.openxmlformats.org/officeDocument/2006/relationships/image" Target="media/image5.emf"/><Relationship Id="rId4" Type="http://schemas.openxmlformats.org/officeDocument/2006/relationships/image" Target="media/image1.emf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11</Pages>
  <Words>758</Words>
  <Characters>4322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Wanwisa Promsote Dr</dc:creator>
  <cp:keywords/>
  <dc:description/>
  <cp:lastModifiedBy>Promsote, Wanwisa (NIH/NIAID) [C]</cp:lastModifiedBy>
  <cp:revision>22</cp:revision>
  <dcterms:created xsi:type="dcterms:W3CDTF">2022-07-20T17:43:00Z</dcterms:created>
  <dcterms:modified xsi:type="dcterms:W3CDTF">2022-08-01T20:37:00Z</dcterms:modified>
</cp:coreProperties>
</file>