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C310A" w14:textId="6860C473" w:rsidR="00175395" w:rsidRPr="006D7184" w:rsidRDefault="00175395" w:rsidP="00175395">
      <w:pPr>
        <w:spacing w:line="480" w:lineRule="auto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6D7184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 w:rsidR="008F1FC0" w:rsidRPr="006D718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D718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F1FC0" w:rsidRPr="006D718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D71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3123215" w14:textId="77777777" w:rsidR="00175395" w:rsidRPr="001F4F6A" w:rsidRDefault="00175395" w:rsidP="00175395">
      <w:pPr>
        <w:rPr>
          <w:rFonts w:cs="Arial"/>
          <w:sz w:val="24"/>
          <w:szCs w:val="24"/>
        </w:rPr>
      </w:pPr>
    </w:p>
    <w:tbl>
      <w:tblPr>
        <w:tblStyle w:val="GridTable3-Accent3"/>
        <w:tblW w:w="9078" w:type="dxa"/>
        <w:tblLook w:val="04A0" w:firstRow="1" w:lastRow="0" w:firstColumn="1" w:lastColumn="0" w:noHBand="0" w:noVBand="1"/>
      </w:tblPr>
      <w:tblGrid>
        <w:gridCol w:w="4137"/>
        <w:gridCol w:w="1784"/>
        <w:gridCol w:w="1784"/>
        <w:gridCol w:w="1373"/>
      </w:tblGrid>
      <w:tr w:rsidR="00175395" w:rsidRPr="003C1EEC" w14:paraId="1E92F186" w14:textId="77777777" w:rsidTr="004217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dxa"/>
          </w:tcPr>
          <w:p w14:paraId="4C184D95" w14:textId="77777777" w:rsidR="00175395" w:rsidRPr="003C1EEC" w:rsidRDefault="00175395" w:rsidP="00B61F8E">
            <w:pPr>
              <w:jc w:val="left"/>
              <w:rPr>
                <w:rFonts w:cs="Arial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bookmarkStart w:id="0" w:name="_Hlk80278910"/>
            <w:r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Features</w:t>
            </w:r>
          </w:p>
        </w:tc>
        <w:tc>
          <w:tcPr>
            <w:tcW w:w="0" w:type="dxa"/>
          </w:tcPr>
          <w:p w14:paraId="5B6533EE" w14:textId="73AE7F4D" w:rsidR="00175395" w:rsidRPr="003C1EEC" w:rsidRDefault="00175395" w:rsidP="00B61F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 xml:space="preserve">Group </w:t>
            </w:r>
            <w:r w:rsidR="00421746">
              <w:rPr>
                <w:rFonts w:cs="Arial"/>
                <w:sz w:val="24"/>
                <w:szCs w:val="24"/>
                <w:lang w:val="en-US"/>
              </w:rPr>
              <w:t>A</w:t>
            </w:r>
            <w:r w:rsidRPr="003C1EEC">
              <w:rPr>
                <w:rFonts w:cs="Arial"/>
                <w:sz w:val="24"/>
                <w:szCs w:val="24"/>
                <w:lang w:val="en-US"/>
              </w:rPr>
              <w:t xml:space="preserve"> (n=569)</w:t>
            </w:r>
          </w:p>
        </w:tc>
        <w:tc>
          <w:tcPr>
            <w:tcW w:w="0" w:type="dxa"/>
          </w:tcPr>
          <w:p w14:paraId="54861364" w14:textId="012B58F5" w:rsidR="00175395" w:rsidRPr="003C1EEC" w:rsidRDefault="00175395" w:rsidP="00B61F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 xml:space="preserve">Group </w:t>
            </w:r>
            <w:r w:rsidR="00421746">
              <w:rPr>
                <w:rFonts w:cs="Arial"/>
                <w:sz w:val="24"/>
                <w:szCs w:val="24"/>
                <w:lang w:val="en-US"/>
              </w:rPr>
              <w:t>B</w:t>
            </w:r>
            <w:r w:rsidRPr="003C1EEC">
              <w:rPr>
                <w:rFonts w:cs="Arial"/>
                <w:sz w:val="24"/>
                <w:szCs w:val="24"/>
                <w:lang w:val="en-US"/>
              </w:rPr>
              <w:t xml:space="preserve"> (n=131)</w:t>
            </w:r>
          </w:p>
        </w:tc>
        <w:tc>
          <w:tcPr>
            <w:tcW w:w="0" w:type="dxa"/>
          </w:tcPr>
          <w:p w14:paraId="36A2CCAE" w14:textId="77777777" w:rsidR="00175395" w:rsidRPr="003C1EEC" w:rsidRDefault="00175395" w:rsidP="00B61F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P-value</w:t>
            </w:r>
          </w:p>
        </w:tc>
      </w:tr>
      <w:tr w:rsidR="00175395" w:rsidRPr="003C1EEC" w14:paraId="244A5F6A" w14:textId="77777777" w:rsidTr="004217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4"/>
          </w:tcPr>
          <w:p w14:paraId="06487202" w14:textId="77777777" w:rsidR="00175395" w:rsidRPr="003C1EEC" w:rsidRDefault="00175395" w:rsidP="00B61F8E">
            <w:pPr>
              <w:spacing w:before="120"/>
              <w:jc w:val="left"/>
              <w:rPr>
                <w:rFonts w:cs="Arial"/>
                <w:i w:val="0"/>
                <w:iCs w:val="0"/>
                <w:color w:val="70AD47" w:themeColor="accent6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Clinical </w:t>
            </w:r>
            <w:r>
              <w:rPr>
                <w:rFonts w:cs="Arial"/>
                <w:b/>
                <w:bCs/>
                <w:i w:val="0"/>
                <w:iCs w:val="0"/>
                <w:sz w:val="24"/>
                <w:szCs w:val="24"/>
                <w:lang w:val="en-US"/>
              </w:rPr>
              <w:t>features</w:t>
            </w:r>
          </w:p>
        </w:tc>
      </w:tr>
      <w:tr w:rsidR="00175395" w:rsidRPr="003C1EEC" w14:paraId="4610D49E" w14:textId="77777777" w:rsidTr="00421746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43B312F" w14:textId="77777777" w:rsidR="00175395" w:rsidRPr="003C1EEC" w:rsidRDefault="00175395" w:rsidP="00B61F8E">
            <w:pPr>
              <w:jc w:val="left"/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Age</w:t>
            </w:r>
          </w:p>
        </w:tc>
        <w:tc>
          <w:tcPr>
            <w:tcW w:w="0" w:type="dxa"/>
          </w:tcPr>
          <w:p w14:paraId="7DDAC371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63 (23-92)</w:t>
            </w:r>
          </w:p>
        </w:tc>
        <w:tc>
          <w:tcPr>
            <w:tcW w:w="0" w:type="dxa"/>
          </w:tcPr>
          <w:p w14:paraId="4C88D16B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 xml:space="preserve">62 (31-91) </w:t>
            </w:r>
          </w:p>
        </w:tc>
        <w:tc>
          <w:tcPr>
            <w:tcW w:w="0" w:type="dxa"/>
          </w:tcPr>
          <w:p w14:paraId="37D6CA04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0.52</w:t>
            </w:r>
            <w:r>
              <w:rPr>
                <w:rFonts w:cs="Arial"/>
                <w:sz w:val="24"/>
                <w:szCs w:val="24"/>
                <w:lang w:val="en-US"/>
              </w:rPr>
              <w:t>3</w:t>
            </w:r>
          </w:p>
        </w:tc>
      </w:tr>
      <w:bookmarkEnd w:id="0"/>
      <w:tr w:rsidR="00175395" w:rsidRPr="003C1EEC" w14:paraId="0FF90527" w14:textId="77777777" w:rsidTr="004217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EB99116" w14:textId="77777777" w:rsidR="00175395" w:rsidRPr="003C1EEC" w:rsidRDefault="00175395" w:rsidP="00B61F8E">
            <w:pPr>
              <w:jc w:val="left"/>
              <w:rPr>
                <w:rFonts w:cs="Arial"/>
                <w:sz w:val="24"/>
                <w:szCs w:val="24"/>
                <w:lang w:val="en-US"/>
              </w:rPr>
            </w:pPr>
            <w:r w:rsidRPr="007C6622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Previous SBP episodes</w:t>
            </w:r>
          </w:p>
        </w:tc>
        <w:tc>
          <w:tcPr>
            <w:tcW w:w="0" w:type="dxa"/>
          </w:tcPr>
          <w:p w14:paraId="7FFFAABE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1</w:t>
            </w:r>
            <w:r>
              <w:rPr>
                <w:rFonts w:cs="Arial"/>
                <w:sz w:val="24"/>
                <w:szCs w:val="24"/>
                <w:lang w:val="en-US"/>
              </w:rPr>
              <w:t>6.8</w:t>
            </w:r>
            <w:r w:rsidRPr="003C1EEC">
              <w:rPr>
                <w:rFonts w:cs="Arial"/>
                <w:sz w:val="24"/>
                <w:szCs w:val="24"/>
                <w:lang w:val="en-US"/>
              </w:rPr>
              <w:t>% (</w:t>
            </w:r>
            <w:r w:rsidRPr="003E7CA7">
              <w:rPr>
                <w:rFonts w:cs="Arial"/>
                <w:sz w:val="24"/>
                <w:szCs w:val="24"/>
                <w:lang w:val="en-US"/>
              </w:rPr>
              <w:t>94/559)</w:t>
            </w:r>
          </w:p>
        </w:tc>
        <w:tc>
          <w:tcPr>
            <w:tcW w:w="0" w:type="dxa"/>
          </w:tcPr>
          <w:p w14:paraId="0E462C3E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3.1% (4/131)</w:t>
            </w:r>
          </w:p>
        </w:tc>
        <w:tc>
          <w:tcPr>
            <w:tcW w:w="0" w:type="dxa"/>
          </w:tcPr>
          <w:p w14:paraId="351C0BAF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&lt;</w:t>
            </w:r>
            <w:r>
              <w:rPr>
                <w:rFonts w:cs="Arial"/>
                <w:sz w:val="24"/>
                <w:szCs w:val="24"/>
                <w:lang w:val="en-US"/>
              </w:rPr>
              <w:t>0.001</w:t>
            </w:r>
          </w:p>
        </w:tc>
      </w:tr>
      <w:tr w:rsidR="00175395" w:rsidRPr="003C1EEC" w14:paraId="6FCF96B2" w14:textId="77777777" w:rsidTr="00421746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F477512" w14:textId="77777777" w:rsidR="00175395" w:rsidRPr="003C1EEC" w:rsidRDefault="00175395" w:rsidP="00B61F8E">
            <w:pPr>
              <w:jc w:val="left"/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</w:pPr>
            <w:r w:rsidRPr="007C6622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Previous SBP episodes &lt;3 months</w:t>
            </w:r>
          </w:p>
        </w:tc>
        <w:tc>
          <w:tcPr>
            <w:tcW w:w="0" w:type="dxa"/>
          </w:tcPr>
          <w:p w14:paraId="53630D74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1</w:t>
            </w:r>
            <w:r>
              <w:rPr>
                <w:rFonts w:cs="Arial"/>
                <w:sz w:val="24"/>
                <w:szCs w:val="24"/>
                <w:lang w:val="en-US"/>
              </w:rPr>
              <w:t>6.8</w:t>
            </w:r>
            <w:r w:rsidRPr="003C1EEC">
              <w:rPr>
                <w:rFonts w:cs="Arial"/>
                <w:sz w:val="24"/>
                <w:szCs w:val="24"/>
                <w:lang w:val="en-US"/>
              </w:rPr>
              <w:t>% (</w:t>
            </w:r>
            <w:r>
              <w:rPr>
                <w:rFonts w:cs="Arial"/>
                <w:sz w:val="24"/>
                <w:szCs w:val="24"/>
                <w:lang w:val="en-US"/>
              </w:rPr>
              <w:t>94</w:t>
            </w:r>
            <w:r w:rsidRPr="003C1EEC">
              <w:rPr>
                <w:rFonts w:cs="Arial"/>
                <w:sz w:val="24"/>
                <w:szCs w:val="24"/>
                <w:lang w:val="en-US"/>
              </w:rPr>
              <w:t>/561)</w:t>
            </w:r>
          </w:p>
        </w:tc>
        <w:tc>
          <w:tcPr>
            <w:tcW w:w="0" w:type="dxa"/>
          </w:tcPr>
          <w:p w14:paraId="1A07F3C9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3.1% (4/131)</w:t>
            </w:r>
          </w:p>
        </w:tc>
        <w:tc>
          <w:tcPr>
            <w:tcW w:w="0" w:type="dxa"/>
          </w:tcPr>
          <w:p w14:paraId="3E2014ED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&lt;</w:t>
            </w:r>
            <w:r>
              <w:rPr>
                <w:rFonts w:cs="Arial"/>
                <w:sz w:val="24"/>
                <w:szCs w:val="24"/>
                <w:lang w:val="en-US"/>
              </w:rPr>
              <w:t>0.001</w:t>
            </w:r>
          </w:p>
        </w:tc>
      </w:tr>
      <w:tr w:rsidR="00175395" w:rsidRPr="003C1EEC" w14:paraId="70B5EC39" w14:textId="77777777" w:rsidTr="004217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9D51943" w14:textId="77777777" w:rsidR="00175395" w:rsidRPr="003C1EEC" w:rsidRDefault="00175395" w:rsidP="00B61F8E">
            <w:pPr>
              <w:jc w:val="left"/>
              <w:rPr>
                <w:rFonts w:cs="Arial"/>
                <w:sz w:val="24"/>
                <w:szCs w:val="24"/>
                <w:lang w:val="en-US"/>
              </w:rPr>
            </w:pPr>
            <w:r w:rsidRPr="007C6622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Previous hydropic decompensation of liver cirrhosis</w:t>
            </w:r>
          </w:p>
        </w:tc>
        <w:tc>
          <w:tcPr>
            <w:tcW w:w="0" w:type="dxa"/>
          </w:tcPr>
          <w:p w14:paraId="4F36D6B6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75.4% (364/483)</w:t>
            </w:r>
          </w:p>
        </w:tc>
        <w:tc>
          <w:tcPr>
            <w:tcW w:w="0" w:type="dxa"/>
          </w:tcPr>
          <w:p w14:paraId="05D7E6E0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56.3% (72/128)</w:t>
            </w:r>
          </w:p>
        </w:tc>
        <w:tc>
          <w:tcPr>
            <w:tcW w:w="0" w:type="dxa"/>
          </w:tcPr>
          <w:p w14:paraId="46C0E249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&lt;</w:t>
            </w:r>
            <w:r>
              <w:rPr>
                <w:rFonts w:cs="Arial"/>
                <w:sz w:val="24"/>
                <w:szCs w:val="24"/>
                <w:lang w:val="en-US"/>
              </w:rPr>
              <w:t>0.001</w:t>
            </w:r>
          </w:p>
        </w:tc>
      </w:tr>
      <w:tr w:rsidR="00175395" w:rsidRPr="003C1EEC" w14:paraId="1139AF8F" w14:textId="77777777" w:rsidTr="00421746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E344185" w14:textId="77777777" w:rsidR="00175395" w:rsidRPr="003C1EEC" w:rsidRDefault="00175395" w:rsidP="00B61F8E">
            <w:pPr>
              <w:jc w:val="left"/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Alcohol-</w:t>
            </w:r>
            <w:r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associated cause of</w:t>
            </w:r>
            <w:r w:rsidRPr="003C1EEC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 xml:space="preserve"> liver cirrhosis</w:t>
            </w:r>
          </w:p>
        </w:tc>
        <w:tc>
          <w:tcPr>
            <w:tcW w:w="0" w:type="dxa"/>
          </w:tcPr>
          <w:p w14:paraId="05C233B5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74.5% (424/569)</w:t>
            </w:r>
          </w:p>
        </w:tc>
        <w:tc>
          <w:tcPr>
            <w:tcW w:w="0" w:type="dxa"/>
          </w:tcPr>
          <w:p w14:paraId="06465690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79.4% (104/131)</w:t>
            </w:r>
          </w:p>
        </w:tc>
        <w:tc>
          <w:tcPr>
            <w:tcW w:w="0" w:type="dxa"/>
          </w:tcPr>
          <w:p w14:paraId="53738171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0.291</w:t>
            </w:r>
          </w:p>
        </w:tc>
      </w:tr>
      <w:tr w:rsidR="00175395" w:rsidRPr="003C1EEC" w14:paraId="229A83CC" w14:textId="77777777" w:rsidTr="004217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D10BCD1" w14:textId="77777777" w:rsidR="00175395" w:rsidRPr="003C1EEC" w:rsidRDefault="00175395" w:rsidP="00B61F8E">
            <w:pPr>
              <w:jc w:val="left"/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</w:pPr>
            <w:r w:rsidRPr="006875D1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Previous upper gastrointestinal bleeding &lt;3 months</w:t>
            </w:r>
          </w:p>
        </w:tc>
        <w:tc>
          <w:tcPr>
            <w:tcW w:w="0" w:type="dxa"/>
          </w:tcPr>
          <w:p w14:paraId="36287CC9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6.3% (35/554)</w:t>
            </w:r>
          </w:p>
        </w:tc>
        <w:tc>
          <w:tcPr>
            <w:tcW w:w="0" w:type="dxa"/>
          </w:tcPr>
          <w:p w14:paraId="4A48035C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3.8% (5/131)</w:t>
            </w:r>
          </w:p>
        </w:tc>
        <w:tc>
          <w:tcPr>
            <w:tcW w:w="0" w:type="dxa"/>
          </w:tcPr>
          <w:p w14:paraId="47B5C02E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0.086</w:t>
            </w:r>
          </w:p>
        </w:tc>
      </w:tr>
      <w:tr w:rsidR="00175395" w:rsidRPr="003C1EEC" w14:paraId="781EF4FD" w14:textId="77777777" w:rsidTr="00421746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CBEEFD8" w14:textId="77777777" w:rsidR="00175395" w:rsidRPr="006875D1" w:rsidRDefault="00175395" w:rsidP="00B61F8E">
            <w:pPr>
              <w:jc w:val="left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Acute upper gastrointestinal bleeding</w:t>
            </w:r>
          </w:p>
        </w:tc>
        <w:tc>
          <w:tcPr>
            <w:tcW w:w="0" w:type="dxa"/>
          </w:tcPr>
          <w:p w14:paraId="6403F6ED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12.1% (69/569)</w:t>
            </w:r>
          </w:p>
        </w:tc>
        <w:tc>
          <w:tcPr>
            <w:tcW w:w="0" w:type="dxa"/>
          </w:tcPr>
          <w:p w14:paraId="0724CA8D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5.3% (7/131)</w:t>
            </w:r>
          </w:p>
        </w:tc>
        <w:tc>
          <w:tcPr>
            <w:tcW w:w="0" w:type="dxa"/>
          </w:tcPr>
          <w:p w14:paraId="297B3EA4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0.036</w:t>
            </w:r>
          </w:p>
        </w:tc>
      </w:tr>
      <w:tr w:rsidR="00175395" w:rsidRPr="003C1EEC" w14:paraId="5E2FB04D" w14:textId="77777777" w:rsidTr="004217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6A97ED3" w14:textId="77777777" w:rsidR="00175395" w:rsidRPr="003C1EEC" w:rsidRDefault="00175395" w:rsidP="00B61F8E">
            <w:pPr>
              <w:jc w:val="left"/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Previous hepatic encephalopathy</w:t>
            </w:r>
          </w:p>
        </w:tc>
        <w:tc>
          <w:tcPr>
            <w:tcW w:w="0" w:type="dxa"/>
          </w:tcPr>
          <w:p w14:paraId="3F735AAA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4.7% (27/569)</w:t>
            </w:r>
          </w:p>
        </w:tc>
        <w:tc>
          <w:tcPr>
            <w:tcW w:w="0" w:type="dxa"/>
          </w:tcPr>
          <w:p w14:paraId="476A08D2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5.3% (7/131)</w:t>
            </w:r>
          </w:p>
        </w:tc>
        <w:tc>
          <w:tcPr>
            <w:tcW w:w="0" w:type="dxa"/>
          </w:tcPr>
          <w:p w14:paraId="49E12AB1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0.95</w:t>
            </w:r>
            <w:r>
              <w:rPr>
                <w:rFonts w:cs="Arial"/>
                <w:sz w:val="24"/>
                <w:szCs w:val="24"/>
                <w:lang w:val="en-US"/>
              </w:rPr>
              <w:t>1</w:t>
            </w:r>
          </w:p>
        </w:tc>
      </w:tr>
      <w:tr w:rsidR="00175395" w:rsidRPr="003C1EEC" w14:paraId="567EE5A6" w14:textId="77777777" w:rsidTr="00421746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68B584E" w14:textId="77777777" w:rsidR="00175395" w:rsidRPr="003C1EEC" w:rsidRDefault="00175395" w:rsidP="00B61F8E">
            <w:pPr>
              <w:ind w:right="840"/>
              <w:jc w:val="lef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Acute h</w:t>
            </w:r>
            <w:r w:rsidRPr="003C1EEC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 xml:space="preserve">epatic </w:t>
            </w:r>
            <w:r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e</w:t>
            </w:r>
            <w:r w:rsidRPr="003C1EEC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 xml:space="preserve">ncephalopathy </w:t>
            </w:r>
          </w:p>
        </w:tc>
        <w:tc>
          <w:tcPr>
            <w:tcW w:w="0" w:type="dxa"/>
          </w:tcPr>
          <w:p w14:paraId="0AC79C7A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37.1% (211/569)</w:t>
            </w:r>
          </w:p>
        </w:tc>
        <w:tc>
          <w:tcPr>
            <w:tcW w:w="0" w:type="dxa"/>
          </w:tcPr>
          <w:p w14:paraId="26CABCA1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13.0% (17/131)</w:t>
            </w:r>
          </w:p>
        </w:tc>
        <w:tc>
          <w:tcPr>
            <w:tcW w:w="0" w:type="dxa"/>
          </w:tcPr>
          <w:p w14:paraId="4AB32AD4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&lt;</w:t>
            </w:r>
            <w:r>
              <w:rPr>
                <w:rFonts w:cs="Arial"/>
                <w:sz w:val="24"/>
                <w:szCs w:val="24"/>
                <w:lang w:val="en-US"/>
              </w:rPr>
              <w:t>0.001</w:t>
            </w:r>
          </w:p>
        </w:tc>
      </w:tr>
      <w:tr w:rsidR="00175395" w:rsidRPr="003C1EEC" w14:paraId="275DADC4" w14:textId="77777777" w:rsidTr="004217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D3CFAF4" w14:textId="77777777" w:rsidR="00175395" w:rsidRDefault="00175395" w:rsidP="00B61F8E">
            <w:pPr>
              <w:ind w:right="840"/>
              <w:jc w:val="left"/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</w:pPr>
            <w:r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Ongoing chronic a</w:t>
            </w:r>
            <w:r w:rsidRPr="003C1EEC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lcohol abuse</w:t>
            </w:r>
            <w:r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 xml:space="preserve"> at admission</w:t>
            </w:r>
          </w:p>
        </w:tc>
        <w:tc>
          <w:tcPr>
            <w:tcW w:w="0" w:type="dxa"/>
          </w:tcPr>
          <w:p w14:paraId="077440D4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33.8% (181/538)</w:t>
            </w:r>
          </w:p>
        </w:tc>
        <w:tc>
          <w:tcPr>
            <w:tcW w:w="0" w:type="dxa"/>
          </w:tcPr>
          <w:p w14:paraId="11E7C4DC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51.2% (63/123)</w:t>
            </w:r>
          </w:p>
        </w:tc>
        <w:tc>
          <w:tcPr>
            <w:tcW w:w="0" w:type="dxa"/>
          </w:tcPr>
          <w:p w14:paraId="0377D61C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0.001</w:t>
            </w:r>
          </w:p>
        </w:tc>
      </w:tr>
      <w:tr w:rsidR="00175395" w:rsidRPr="003C1EEC" w14:paraId="21FBA60E" w14:textId="77777777" w:rsidTr="00421746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FDFF784" w14:textId="77777777" w:rsidR="00175395" w:rsidRDefault="00175395" w:rsidP="00B61F8E">
            <w:pPr>
              <w:ind w:right="840"/>
              <w:jc w:val="left"/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Fever at admission</w:t>
            </w:r>
          </w:p>
        </w:tc>
        <w:tc>
          <w:tcPr>
            <w:tcW w:w="0" w:type="dxa"/>
          </w:tcPr>
          <w:p w14:paraId="5E276F73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35.2% (172/488)</w:t>
            </w:r>
          </w:p>
        </w:tc>
        <w:tc>
          <w:tcPr>
            <w:tcW w:w="0" w:type="dxa"/>
          </w:tcPr>
          <w:p w14:paraId="29EB6938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3.8% (5/128)</w:t>
            </w:r>
          </w:p>
        </w:tc>
        <w:tc>
          <w:tcPr>
            <w:tcW w:w="0" w:type="dxa"/>
          </w:tcPr>
          <w:p w14:paraId="47304609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&lt;</w:t>
            </w:r>
            <w:r>
              <w:rPr>
                <w:rFonts w:cs="Arial"/>
                <w:sz w:val="24"/>
                <w:szCs w:val="24"/>
                <w:lang w:val="en-US"/>
              </w:rPr>
              <w:t>0.001</w:t>
            </w:r>
          </w:p>
        </w:tc>
      </w:tr>
      <w:tr w:rsidR="00175395" w:rsidRPr="003C1EEC" w14:paraId="650BAB7E" w14:textId="77777777" w:rsidTr="004217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E1E384F" w14:textId="77777777" w:rsidR="00175395" w:rsidRPr="003C1EEC" w:rsidRDefault="00175395" w:rsidP="00B61F8E">
            <w:pPr>
              <w:ind w:right="840"/>
              <w:jc w:val="left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 xml:space="preserve">First </w:t>
            </w:r>
            <w:r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d</w:t>
            </w:r>
            <w:r w:rsidRPr="003C1EEC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iagnosis/ascites puncture on ICU</w:t>
            </w:r>
          </w:p>
        </w:tc>
        <w:tc>
          <w:tcPr>
            <w:tcW w:w="0" w:type="dxa"/>
          </w:tcPr>
          <w:p w14:paraId="786304A4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17.8% (101/567)</w:t>
            </w:r>
          </w:p>
        </w:tc>
        <w:tc>
          <w:tcPr>
            <w:tcW w:w="0" w:type="dxa"/>
          </w:tcPr>
          <w:p w14:paraId="09B5EE89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3.2% (4/126</w:t>
            </w:r>
          </w:p>
        </w:tc>
        <w:tc>
          <w:tcPr>
            <w:tcW w:w="0" w:type="dxa"/>
          </w:tcPr>
          <w:p w14:paraId="238CA110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&lt;</w:t>
            </w:r>
            <w:r>
              <w:rPr>
                <w:rFonts w:cs="Arial"/>
                <w:sz w:val="24"/>
                <w:szCs w:val="24"/>
                <w:lang w:val="en-US"/>
              </w:rPr>
              <w:t>0.001</w:t>
            </w:r>
          </w:p>
        </w:tc>
      </w:tr>
      <w:tr w:rsidR="00175395" w:rsidRPr="003C1EEC" w14:paraId="64CC6609" w14:textId="77777777" w:rsidTr="00421746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BBEE1F5" w14:textId="77777777" w:rsidR="00175395" w:rsidRPr="003C1EEC" w:rsidRDefault="00175395" w:rsidP="00B61F8E">
            <w:pPr>
              <w:ind w:right="840"/>
              <w:jc w:val="left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Pleural effusion</w:t>
            </w:r>
          </w:p>
        </w:tc>
        <w:tc>
          <w:tcPr>
            <w:tcW w:w="0" w:type="dxa"/>
          </w:tcPr>
          <w:p w14:paraId="34EF3E09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40.9% (226/553)</w:t>
            </w:r>
          </w:p>
        </w:tc>
        <w:tc>
          <w:tcPr>
            <w:tcW w:w="0" w:type="dxa"/>
          </w:tcPr>
          <w:p w14:paraId="592BA46D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23.8% (30/126)</w:t>
            </w:r>
          </w:p>
        </w:tc>
        <w:tc>
          <w:tcPr>
            <w:tcW w:w="0" w:type="dxa"/>
          </w:tcPr>
          <w:p w14:paraId="7A4FDC89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0.00</w:t>
            </w:r>
            <w:r>
              <w:rPr>
                <w:rFonts w:cs="Arial"/>
                <w:sz w:val="24"/>
                <w:szCs w:val="24"/>
                <w:lang w:val="en-US"/>
              </w:rPr>
              <w:t>1</w:t>
            </w:r>
          </w:p>
        </w:tc>
      </w:tr>
      <w:tr w:rsidR="00175395" w:rsidRPr="003C1EEC" w14:paraId="4C60694B" w14:textId="77777777" w:rsidTr="004217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0734143" w14:textId="77777777" w:rsidR="00175395" w:rsidRPr="003C1EEC" w:rsidRDefault="00175395" w:rsidP="00B61F8E">
            <w:pPr>
              <w:ind w:right="840"/>
              <w:jc w:val="left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 xml:space="preserve">Esophageal varices </w:t>
            </w:r>
          </w:p>
        </w:tc>
        <w:tc>
          <w:tcPr>
            <w:tcW w:w="0" w:type="dxa"/>
          </w:tcPr>
          <w:p w14:paraId="309B6096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62.8% (329/524)</w:t>
            </w:r>
          </w:p>
        </w:tc>
        <w:tc>
          <w:tcPr>
            <w:tcW w:w="0" w:type="dxa"/>
          </w:tcPr>
          <w:p w14:paraId="53D52BA3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68.6% (81/118)</w:t>
            </w:r>
          </w:p>
        </w:tc>
        <w:tc>
          <w:tcPr>
            <w:tcW w:w="0" w:type="dxa"/>
          </w:tcPr>
          <w:p w14:paraId="33F8018E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0.371</w:t>
            </w:r>
          </w:p>
        </w:tc>
      </w:tr>
      <w:tr w:rsidR="00175395" w:rsidRPr="003C1EEC" w14:paraId="49F9584C" w14:textId="77777777" w:rsidTr="00421746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9B451BE" w14:textId="77777777" w:rsidR="00175395" w:rsidRPr="003C1EEC" w:rsidRDefault="00175395" w:rsidP="00B61F8E">
            <w:pPr>
              <w:jc w:val="left"/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Cancer disease</w:t>
            </w:r>
          </w:p>
        </w:tc>
        <w:tc>
          <w:tcPr>
            <w:tcW w:w="0" w:type="dxa"/>
          </w:tcPr>
          <w:p w14:paraId="05B0A44B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21.9% (124/566; 3 NA)</w:t>
            </w:r>
          </w:p>
        </w:tc>
        <w:tc>
          <w:tcPr>
            <w:tcW w:w="0" w:type="dxa"/>
          </w:tcPr>
          <w:p w14:paraId="649B828C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15.3% (20/131)</w:t>
            </w:r>
          </w:p>
        </w:tc>
        <w:tc>
          <w:tcPr>
            <w:tcW w:w="0" w:type="dxa"/>
          </w:tcPr>
          <w:p w14:paraId="3CEC22A1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0.198</w:t>
            </w:r>
          </w:p>
        </w:tc>
      </w:tr>
      <w:tr w:rsidR="00175395" w:rsidRPr="003C1EEC" w14:paraId="71ED6497" w14:textId="77777777" w:rsidTr="004217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DBD4554" w14:textId="77777777" w:rsidR="00175395" w:rsidRPr="003C1EEC" w:rsidRDefault="00175395" w:rsidP="00B61F8E">
            <w:pPr>
              <w:jc w:val="left"/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</w:pPr>
            <w:r w:rsidRPr="003C1EEC">
              <w:rPr>
                <w:rFonts w:eastAsia="Times New Roman" w:cs="Arial"/>
                <w:i w:val="0"/>
                <w:iCs w:val="0"/>
                <w:sz w:val="24"/>
                <w:szCs w:val="24"/>
                <w:lang w:val="en-US"/>
              </w:rPr>
              <w:lastRenderedPageBreak/>
              <w:t xml:space="preserve">Diabetes </w:t>
            </w:r>
          </w:p>
        </w:tc>
        <w:tc>
          <w:tcPr>
            <w:tcW w:w="0" w:type="dxa"/>
          </w:tcPr>
          <w:p w14:paraId="6119B308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eastAsia="Times New Roman" w:cs="Arial"/>
                <w:sz w:val="24"/>
                <w:szCs w:val="24"/>
                <w:lang w:val="en-US"/>
              </w:rPr>
              <w:t>32.7% (186/569)</w:t>
            </w:r>
          </w:p>
        </w:tc>
        <w:tc>
          <w:tcPr>
            <w:tcW w:w="0" w:type="dxa"/>
          </w:tcPr>
          <w:p w14:paraId="31F61C23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eastAsia="Times New Roman" w:cs="Arial"/>
                <w:sz w:val="24"/>
                <w:szCs w:val="24"/>
                <w:lang w:val="en-US"/>
              </w:rPr>
              <w:t xml:space="preserve">26.7% (35/131) </w:t>
            </w:r>
          </w:p>
        </w:tc>
        <w:tc>
          <w:tcPr>
            <w:tcW w:w="0" w:type="dxa"/>
          </w:tcPr>
          <w:p w14:paraId="49A24993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0.22</w:t>
            </w:r>
            <w:r>
              <w:rPr>
                <w:rFonts w:cs="Arial"/>
                <w:sz w:val="24"/>
                <w:szCs w:val="24"/>
                <w:lang w:val="en-US"/>
              </w:rPr>
              <w:t>2</w:t>
            </w:r>
          </w:p>
        </w:tc>
      </w:tr>
      <w:tr w:rsidR="00175395" w:rsidRPr="003C1EEC" w14:paraId="3093648A" w14:textId="77777777" w:rsidTr="00421746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B38ED0B" w14:textId="77777777" w:rsidR="00175395" w:rsidRPr="003C1EEC" w:rsidRDefault="00175395" w:rsidP="00B61F8E">
            <w:pPr>
              <w:jc w:val="left"/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Chronic renal failure</w:t>
            </w:r>
          </w:p>
        </w:tc>
        <w:tc>
          <w:tcPr>
            <w:tcW w:w="0" w:type="dxa"/>
          </w:tcPr>
          <w:p w14:paraId="11EA7FF6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22.2% (126/568)</w:t>
            </w:r>
          </w:p>
        </w:tc>
        <w:tc>
          <w:tcPr>
            <w:tcW w:w="0" w:type="dxa"/>
          </w:tcPr>
          <w:p w14:paraId="6C3BC659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19.1% (25/131)</w:t>
            </w:r>
          </w:p>
        </w:tc>
        <w:tc>
          <w:tcPr>
            <w:tcW w:w="0" w:type="dxa"/>
          </w:tcPr>
          <w:p w14:paraId="4C353732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0.578</w:t>
            </w:r>
          </w:p>
        </w:tc>
      </w:tr>
      <w:tr w:rsidR="00175395" w:rsidRPr="003C1EEC" w14:paraId="5FE170C7" w14:textId="77777777" w:rsidTr="004217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184C0C6" w14:textId="77777777" w:rsidR="00175395" w:rsidRPr="003C1EEC" w:rsidRDefault="00175395" w:rsidP="00B61F8E">
            <w:pPr>
              <w:jc w:val="left"/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 xml:space="preserve">Previous </w:t>
            </w:r>
            <w:r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liver or kidney</w:t>
            </w:r>
            <w:r w:rsidRPr="003C1EEC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 xml:space="preserve"> transplant</w:t>
            </w:r>
            <w:r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ation</w:t>
            </w:r>
            <w:r w:rsidRPr="003C1EEC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dxa"/>
          </w:tcPr>
          <w:p w14:paraId="7CE44012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2.6% (15/569)</w:t>
            </w:r>
          </w:p>
        </w:tc>
        <w:tc>
          <w:tcPr>
            <w:tcW w:w="0" w:type="dxa"/>
          </w:tcPr>
          <w:p w14:paraId="5B7AF211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0% (0/131)</w:t>
            </w:r>
          </w:p>
        </w:tc>
        <w:tc>
          <w:tcPr>
            <w:tcW w:w="0" w:type="dxa"/>
          </w:tcPr>
          <w:p w14:paraId="16A55603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0.087</w:t>
            </w:r>
          </w:p>
        </w:tc>
      </w:tr>
      <w:tr w:rsidR="00175395" w:rsidRPr="003C1EEC" w14:paraId="190FFBE7" w14:textId="77777777" w:rsidTr="00421746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4"/>
          </w:tcPr>
          <w:p w14:paraId="66B06B44" w14:textId="77777777" w:rsidR="00175395" w:rsidRPr="003C1EEC" w:rsidRDefault="00175395" w:rsidP="00B61F8E">
            <w:pPr>
              <w:spacing w:before="120"/>
              <w:jc w:val="left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b/>
                <w:bCs/>
                <w:i w:val="0"/>
                <w:iCs w:val="0"/>
                <w:sz w:val="24"/>
                <w:szCs w:val="24"/>
                <w:lang w:val="en-US"/>
              </w:rPr>
              <w:t>Medication</w:t>
            </w:r>
          </w:p>
        </w:tc>
      </w:tr>
      <w:tr w:rsidR="00175395" w:rsidRPr="003C1EEC" w14:paraId="11F146C5" w14:textId="77777777" w:rsidTr="004217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53F8B7C" w14:textId="77777777" w:rsidR="00175395" w:rsidRPr="003C1EEC" w:rsidRDefault="00175395" w:rsidP="00B61F8E">
            <w:pPr>
              <w:jc w:val="left"/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Lactulose</w:t>
            </w:r>
          </w:p>
        </w:tc>
        <w:tc>
          <w:tcPr>
            <w:tcW w:w="0" w:type="dxa"/>
          </w:tcPr>
          <w:p w14:paraId="41D6E139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60.6% (345/569)</w:t>
            </w:r>
          </w:p>
        </w:tc>
        <w:tc>
          <w:tcPr>
            <w:tcW w:w="0" w:type="dxa"/>
          </w:tcPr>
          <w:p w14:paraId="6B8B24FE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56.5% (74/131)</w:t>
            </w:r>
          </w:p>
        </w:tc>
        <w:tc>
          <w:tcPr>
            <w:tcW w:w="0" w:type="dxa"/>
          </w:tcPr>
          <w:p w14:paraId="54170395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0.439</w:t>
            </w:r>
          </w:p>
        </w:tc>
      </w:tr>
      <w:tr w:rsidR="00175395" w:rsidRPr="003C1EEC" w14:paraId="38CB9E3F" w14:textId="77777777" w:rsidTr="00421746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034ACA9" w14:textId="77777777" w:rsidR="00175395" w:rsidRPr="003C1EEC" w:rsidRDefault="00175395" w:rsidP="00B61F8E">
            <w:pPr>
              <w:jc w:val="left"/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Proton-pump inhibitor</w:t>
            </w:r>
            <w:r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s</w:t>
            </w:r>
          </w:p>
        </w:tc>
        <w:tc>
          <w:tcPr>
            <w:tcW w:w="0" w:type="dxa"/>
          </w:tcPr>
          <w:p w14:paraId="2FD0B8F8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84.9% (483/569)</w:t>
            </w:r>
          </w:p>
        </w:tc>
        <w:tc>
          <w:tcPr>
            <w:tcW w:w="0" w:type="dxa"/>
          </w:tcPr>
          <w:p w14:paraId="7554D962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76.3% (100/131)</w:t>
            </w:r>
          </w:p>
        </w:tc>
        <w:tc>
          <w:tcPr>
            <w:tcW w:w="0" w:type="dxa"/>
          </w:tcPr>
          <w:p w14:paraId="532475E4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0.025</w:t>
            </w:r>
          </w:p>
        </w:tc>
      </w:tr>
      <w:tr w:rsidR="00175395" w:rsidRPr="003C1EEC" w14:paraId="5E766B84" w14:textId="77777777" w:rsidTr="004217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682985F" w14:textId="77777777" w:rsidR="00175395" w:rsidRPr="003C1EEC" w:rsidRDefault="00175395" w:rsidP="00B61F8E">
            <w:pPr>
              <w:jc w:val="left"/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 xml:space="preserve">Non-selective beta-blockers </w:t>
            </w:r>
          </w:p>
        </w:tc>
        <w:tc>
          <w:tcPr>
            <w:tcW w:w="0" w:type="dxa"/>
          </w:tcPr>
          <w:p w14:paraId="0B1C6B47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38.1% (217/569)</w:t>
            </w:r>
          </w:p>
        </w:tc>
        <w:tc>
          <w:tcPr>
            <w:tcW w:w="0" w:type="dxa"/>
          </w:tcPr>
          <w:p w14:paraId="5C4C3285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54.2% (71/131)</w:t>
            </w:r>
          </w:p>
        </w:tc>
        <w:tc>
          <w:tcPr>
            <w:tcW w:w="0" w:type="dxa"/>
          </w:tcPr>
          <w:p w14:paraId="723B0D34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0.001</w:t>
            </w:r>
          </w:p>
        </w:tc>
      </w:tr>
      <w:tr w:rsidR="00175395" w:rsidRPr="003C1EEC" w14:paraId="000C25E6" w14:textId="77777777" w:rsidTr="00421746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00788E3" w14:textId="77777777" w:rsidR="00175395" w:rsidRPr="003C1EEC" w:rsidRDefault="00175395" w:rsidP="00B61F8E">
            <w:pPr>
              <w:jc w:val="left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Immunosuppressive therapy</w:t>
            </w:r>
          </w:p>
        </w:tc>
        <w:tc>
          <w:tcPr>
            <w:tcW w:w="0" w:type="dxa"/>
          </w:tcPr>
          <w:p w14:paraId="3C1B2F74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14.1% (78/490)</w:t>
            </w:r>
          </w:p>
        </w:tc>
        <w:tc>
          <w:tcPr>
            <w:tcW w:w="0" w:type="dxa"/>
          </w:tcPr>
          <w:p w14:paraId="79F83773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3.8% (5/131)</w:t>
            </w:r>
          </w:p>
        </w:tc>
        <w:tc>
          <w:tcPr>
            <w:tcW w:w="0" w:type="dxa"/>
          </w:tcPr>
          <w:p w14:paraId="42743B1A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&lt;</w:t>
            </w:r>
            <w:r>
              <w:rPr>
                <w:rFonts w:cs="Arial"/>
                <w:sz w:val="24"/>
                <w:szCs w:val="24"/>
                <w:lang w:val="en-US"/>
              </w:rPr>
              <w:t>0.001</w:t>
            </w:r>
          </w:p>
        </w:tc>
      </w:tr>
      <w:tr w:rsidR="00175395" w:rsidRPr="003C1EEC" w14:paraId="14397571" w14:textId="77777777" w:rsidTr="004217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4"/>
          </w:tcPr>
          <w:p w14:paraId="6D1686AC" w14:textId="77777777" w:rsidR="00175395" w:rsidRPr="003C1EEC" w:rsidRDefault="00175395" w:rsidP="00B61F8E">
            <w:pPr>
              <w:spacing w:before="120"/>
              <w:jc w:val="left"/>
              <w:rPr>
                <w:rFonts w:cs="Arial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Laboratory </w:t>
            </w:r>
            <w:r>
              <w:rPr>
                <w:rFonts w:cs="Arial"/>
                <w:b/>
                <w:bCs/>
                <w:i w:val="0"/>
                <w:iCs w:val="0"/>
                <w:sz w:val="24"/>
                <w:szCs w:val="24"/>
                <w:lang w:val="en-US"/>
              </w:rPr>
              <w:t>features</w:t>
            </w:r>
            <w:r w:rsidRPr="003C1EEC">
              <w:rPr>
                <w:rFonts w:cs="Arial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 in blood</w:t>
            </w:r>
          </w:p>
        </w:tc>
      </w:tr>
      <w:tr w:rsidR="00175395" w:rsidRPr="003C1EEC" w14:paraId="35668130" w14:textId="77777777" w:rsidTr="00421746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B5B2206" w14:textId="77777777" w:rsidR="00175395" w:rsidRPr="003C1EEC" w:rsidRDefault="00175395" w:rsidP="00B61F8E">
            <w:pPr>
              <w:jc w:val="left"/>
              <w:rPr>
                <w:rFonts w:cs="Arial"/>
                <w:i w:val="0"/>
                <w:iCs w:val="0"/>
                <w:sz w:val="24"/>
                <w:szCs w:val="24"/>
                <w:lang w:val="de-DE"/>
              </w:rPr>
            </w:pPr>
            <w:r w:rsidRPr="003C1EEC">
              <w:rPr>
                <w:rFonts w:cs="Arial"/>
                <w:i w:val="0"/>
                <w:iCs w:val="0"/>
                <w:sz w:val="24"/>
                <w:szCs w:val="24"/>
                <w:lang w:val="de-DE"/>
              </w:rPr>
              <w:t xml:space="preserve">Sodium </w:t>
            </w:r>
            <w:r>
              <w:rPr>
                <w:rFonts w:cs="Arial"/>
                <w:i w:val="0"/>
                <w:iCs w:val="0"/>
                <w:sz w:val="24"/>
                <w:szCs w:val="24"/>
                <w:lang w:val="de-DE"/>
              </w:rPr>
              <w:t xml:space="preserve">in </w:t>
            </w:r>
            <w:proofErr w:type="spellStart"/>
            <w:r>
              <w:rPr>
                <w:rFonts w:cs="Arial"/>
                <w:i w:val="0"/>
                <w:iCs w:val="0"/>
                <w:sz w:val="24"/>
                <w:szCs w:val="24"/>
                <w:lang w:val="de-DE"/>
              </w:rPr>
              <w:t>serum</w:t>
            </w:r>
            <w:proofErr w:type="spellEnd"/>
            <w:r>
              <w:rPr>
                <w:rFonts w:cs="Arial"/>
                <w:i w:val="0"/>
                <w:iCs w:val="0"/>
                <w:sz w:val="24"/>
                <w:szCs w:val="24"/>
                <w:lang w:val="de-DE"/>
              </w:rPr>
              <w:t xml:space="preserve"> </w:t>
            </w:r>
            <w:r w:rsidRPr="003C1EEC">
              <w:rPr>
                <w:rFonts w:cs="Arial"/>
                <w:i w:val="0"/>
                <w:iCs w:val="0"/>
                <w:sz w:val="24"/>
                <w:szCs w:val="24"/>
                <w:lang w:val="de-DE"/>
              </w:rPr>
              <w:t>(mmol/L)</w:t>
            </w:r>
          </w:p>
        </w:tc>
        <w:tc>
          <w:tcPr>
            <w:tcW w:w="0" w:type="dxa"/>
          </w:tcPr>
          <w:p w14:paraId="7235464C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de-DE"/>
              </w:rPr>
            </w:pPr>
            <w:r w:rsidRPr="003C1EEC">
              <w:rPr>
                <w:rFonts w:cs="Arial"/>
                <w:sz w:val="24"/>
                <w:szCs w:val="24"/>
                <w:lang w:val="de-DE"/>
              </w:rPr>
              <w:t>134 (109-160; 14 NA)</w:t>
            </w:r>
          </w:p>
        </w:tc>
        <w:tc>
          <w:tcPr>
            <w:tcW w:w="0" w:type="dxa"/>
          </w:tcPr>
          <w:p w14:paraId="00D6D736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de-DE"/>
              </w:rPr>
            </w:pPr>
            <w:r w:rsidRPr="003C1EEC">
              <w:rPr>
                <w:rFonts w:cs="Arial"/>
                <w:sz w:val="24"/>
                <w:szCs w:val="24"/>
                <w:lang w:val="de-DE"/>
              </w:rPr>
              <w:t>135 (119-148; 1 NA)</w:t>
            </w:r>
          </w:p>
        </w:tc>
        <w:tc>
          <w:tcPr>
            <w:tcW w:w="0" w:type="dxa"/>
          </w:tcPr>
          <w:p w14:paraId="4D0AE0FF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val="de-DE"/>
              </w:rPr>
            </w:pPr>
            <w:r w:rsidRPr="003C1EEC">
              <w:rPr>
                <w:rFonts w:eastAsia="Times New Roman" w:cs="Arial"/>
                <w:sz w:val="24"/>
                <w:szCs w:val="24"/>
                <w:lang w:val="de-DE"/>
              </w:rPr>
              <w:t>0.384</w:t>
            </w:r>
          </w:p>
        </w:tc>
      </w:tr>
      <w:tr w:rsidR="00175395" w:rsidRPr="003C1EEC" w14:paraId="7BECAD8A" w14:textId="77777777" w:rsidTr="004217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876D89E" w14:textId="77777777" w:rsidR="00175395" w:rsidRPr="003C1EEC" w:rsidRDefault="00175395" w:rsidP="00B61F8E">
            <w:pPr>
              <w:jc w:val="left"/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Creatinine</w:t>
            </w:r>
            <w:r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 xml:space="preserve"> in serum </w:t>
            </w:r>
            <w:r w:rsidRPr="003C1EEC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(mg/dL)</w:t>
            </w:r>
          </w:p>
        </w:tc>
        <w:tc>
          <w:tcPr>
            <w:tcW w:w="0" w:type="dxa"/>
          </w:tcPr>
          <w:p w14:paraId="4260F87E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1.8 (0.9-4.0; 10 NA)</w:t>
            </w:r>
          </w:p>
        </w:tc>
        <w:tc>
          <w:tcPr>
            <w:tcW w:w="0" w:type="dxa"/>
          </w:tcPr>
          <w:p w14:paraId="1D29E479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1.1 (1.0-4.0; 6 NA)</w:t>
            </w:r>
          </w:p>
        </w:tc>
        <w:tc>
          <w:tcPr>
            <w:tcW w:w="0" w:type="dxa"/>
          </w:tcPr>
          <w:p w14:paraId="6B2EC29B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&lt;</w:t>
            </w:r>
            <w:r>
              <w:rPr>
                <w:rFonts w:cs="Arial"/>
                <w:sz w:val="24"/>
                <w:szCs w:val="24"/>
                <w:lang w:val="en-US"/>
              </w:rPr>
              <w:t>0.001</w:t>
            </w:r>
          </w:p>
        </w:tc>
      </w:tr>
      <w:tr w:rsidR="00175395" w:rsidRPr="003C1EEC" w14:paraId="2380F6ED" w14:textId="77777777" w:rsidTr="00421746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1CA8370" w14:textId="77777777" w:rsidR="00175395" w:rsidRPr="003C1EEC" w:rsidRDefault="00175395" w:rsidP="00B61F8E">
            <w:pPr>
              <w:jc w:val="left"/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</w:pPr>
            <w:bookmarkStart w:id="1" w:name="_Hlk107045929"/>
            <w:r w:rsidRPr="003C1EEC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 xml:space="preserve">C-reactive protein </w:t>
            </w:r>
            <w:r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 xml:space="preserve">in serum </w:t>
            </w:r>
            <w:bookmarkEnd w:id="1"/>
            <w:r w:rsidRPr="003C1EEC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(mg/dL)</w:t>
            </w:r>
          </w:p>
        </w:tc>
        <w:tc>
          <w:tcPr>
            <w:tcW w:w="0" w:type="dxa"/>
          </w:tcPr>
          <w:p w14:paraId="112146B8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6.3 (0.1 - 34.3; 89 NA)</w:t>
            </w:r>
          </w:p>
        </w:tc>
        <w:tc>
          <w:tcPr>
            <w:tcW w:w="0" w:type="dxa"/>
          </w:tcPr>
          <w:p w14:paraId="44A2AAF4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1.7 (0.03 – 10.2; 15 NA)</w:t>
            </w:r>
          </w:p>
        </w:tc>
        <w:tc>
          <w:tcPr>
            <w:tcW w:w="0" w:type="dxa"/>
          </w:tcPr>
          <w:p w14:paraId="2F852FA1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&lt;</w:t>
            </w:r>
            <w:r>
              <w:rPr>
                <w:rFonts w:cs="Arial"/>
                <w:sz w:val="24"/>
                <w:szCs w:val="24"/>
                <w:lang w:val="en-US"/>
              </w:rPr>
              <w:t>0.001</w:t>
            </w:r>
          </w:p>
        </w:tc>
      </w:tr>
      <w:tr w:rsidR="00175395" w:rsidRPr="003C1EEC" w14:paraId="5546D6BE" w14:textId="77777777" w:rsidTr="004217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58DA7DC" w14:textId="77777777" w:rsidR="00175395" w:rsidRPr="003C1EEC" w:rsidRDefault="00175395" w:rsidP="00B61F8E">
            <w:pPr>
              <w:jc w:val="left"/>
              <w:rPr>
                <w:rFonts w:cs="Arial"/>
                <w:i w:val="0"/>
                <w:iCs w:val="0"/>
                <w:sz w:val="24"/>
                <w:szCs w:val="24"/>
                <w:lang w:val="de-DE"/>
              </w:rPr>
            </w:pPr>
            <w:r w:rsidRPr="003C1EEC">
              <w:rPr>
                <w:rFonts w:cs="Arial"/>
                <w:i w:val="0"/>
                <w:iCs w:val="0"/>
                <w:sz w:val="24"/>
                <w:szCs w:val="24"/>
                <w:lang w:val="de-DE"/>
              </w:rPr>
              <w:t xml:space="preserve">Bilirubin </w:t>
            </w:r>
            <w:r>
              <w:rPr>
                <w:rFonts w:cs="Arial"/>
                <w:i w:val="0"/>
                <w:iCs w:val="0"/>
                <w:sz w:val="24"/>
                <w:szCs w:val="24"/>
                <w:lang w:val="de-DE"/>
              </w:rPr>
              <w:t xml:space="preserve">in </w:t>
            </w:r>
            <w:proofErr w:type="spellStart"/>
            <w:r>
              <w:rPr>
                <w:rFonts w:cs="Arial"/>
                <w:i w:val="0"/>
                <w:iCs w:val="0"/>
                <w:sz w:val="24"/>
                <w:szCs w:val="24"/>
                <w:lang w:val="de-DE"/>
              </w:rPr>
              <w:t>serum</w:t>
            </w:r>
            <w:proofErr w:type="spellEnd"/>
            <w:r>
              <w:rPr>
                <w:rFonts w:cs="Arial"/>
                <w:i w:val="0"/>
                <w:iCs w:val="0"/>
                <w:sz w:val="24"/>
                <w:szCs w:val="24"/>
                <w:lang w:val="de-DE"/>
              </w:rPr>
              <w:t xml:space="preserve"> </w:t>
            </w:r>
            <w:r w:rsidRPr="003C1EEC">
              <w:rPr>
                <w:rFonts w:cs="Arial"/>
                <w:i w:val="0"/>
                <w:iCs w:val="0"/>
                <w:sz w:val="24"/>
                <w:szCs w:val="24"/>
                <w:lang w:val="de-DE"/>
              </w:rPr>
              <w:t>(mg/dL)</w:t>
            </w:r>
          </w:p>
        </w:tc>
        <w:tc>
          <w:tcPr>
            <w:tcW w:w="0" w:type="dxa"/>
          </w:tcPr>
          <w:p w14:paraId="466D5A85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3.5 (0.2-46.4; 79 NA)</w:t>
            </w:r>
          </w:p>
        </w:tc>
        <w:tc>
          <w:tcPr>
            <w:tcW w:w="0" w:type="dxa"/>
          </w:tcPr>
          <w:p w14:paraId="6C36719C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2.1 (0.4-30.6; 12 NA)</w:t>
            </w:r>
          </w:p>
        </w:tc>
        <w:tc>
          <w:tcPr>
            <w:tcW w:w="0" w:type="dxa"/>
          </w:tcPr>
          <w:p w14:paraId="7FB170F1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&lt;</w:t>
            </w:r>
            <w:r>
              <w:rPr>
                <w:rFonts w:cs="Arial"/>
                <w:sz w:val="24"/>
                <w:szCs w:val="24"/>
                <w:lang w:val="en-US"/>
              </w:rPr>
              <w:t>0.001</w:t>
            </w:r>
          </w:p>
        </w:tc>
      </w:tr>
      <w:tr w:rsidR="00175395" w:rsidRPr="003C1EEC" w14:paraId="1FC060D3" w14:textId="77777777" w:rsidTr="00421746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9A92758" w14:textId="77777777" w:rsidR="00175395" w:rsidRPr="003C1EEC" w:rsidRDefault="00175395" w:rsidP="00B61F8E">
            <w:pPr>
              <w:jc w:val="left"/>
              <w:rPr>
                <w:rFonts w:cs="Arial"/>
                <w:i w:val="0"/>
                <w:iCs w:val="0"/>
                <w:sz w:val="24"/>
                <w:szCs w:val="24"/>
                <w:lang w:val="de-DE"/>
              </w:rPr>
            </w:pPr>
            <w:r w:rsidRPr="003C1EEC">
              <w:rPr>
                <w:rFonts w:cs="Arial"/>
                <w:i w:val="0"/>
                <w:iCs w:val="0"/>
                <w:sz w:val="24"/>
                <w:szCs w:val="24"/>
                <w:lang w:val="de-DE"/>
              </w:rPr>
              <w:t xml:space="preserve">Glucose </w:t>
            </w:r>
            <w:r>
              <w:rPr>
                <w:rFonts w:cs="Arial"/>
                <w:i w:val="0"/>
                <w:iCs w:val="0"/>
                <w:sz w:val="24"/>
                <w:szCs w:val="24"/>
                <w:lang w:val="de-DE"/>
              </w:rPr>
              <w:t xml:space="preserve">in </w:t>
            </w:r>
            <w:proofErr w:type="spellStart"/>
            <w:r>
              <w:rPr>
                <w:rFonts w:cs="Arial"/>
                <w:i w:val="0"/>
                <w:iCs w:val="0"/>
                <w:sz w:val="24"/>
                <w:szCs w:val="24"/>
                <w:lang w:val="de-DE"/>
              </w:rPr>
              <w:t>serum</w:t>
            </w:r>
            <w:proofErr w:type="spellEnd"/>
            <w:r>
              <w:rPr>
                <w:rFonts w:cs="Arial"/>
                <w:i w:val="0"/>
                <w:iCs w:val="0"/>
                <w:sz w:val="24"/>
                <w:szCs w:val="24"/>
                <w:lang w:val="de-DE"/>
              </w:rPr>
              <w:t xml:space="preserve"> </w:t>
            </w:r>
            <w:r w:rsidRPr="003C1EEC">
              <w:rPr>
                <w:rFonts w:cs="Arial"/>
                <w:i w:val="0"/>
                <w:iCs w:val="0"/>
                <w:sz w:val="24"/>
                <w:szCs w:val="24"/>
                <w:lang w:val="de-DE"/>
              </w:rPr>
              <w:t>(mg/dL)</w:t>
            </w:r>
          </w:p>
        </w:tc>
        <w:tc>
          <w:tcPr>
            <w:tcW w:w="0" w:type="dxa"/>
          </w:tcPr>
          <w:p w14:paraId="0957192A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119 (9-408; 151 NA)</w:t>
            </w:r>
          </w:p>
        </w:tc>
        <w:tc>
          <w:tcPr>
            <w:tcW w:w="0" w:type="dxa"/>
          </w:tcPr>
          <w:p w14:paraId="6D6D0A97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116 (71-328; 28 NA)</w:t>
            </w:r>
          </w:p>
        </w:tc>
        <w:tc>
          <w:tcPr>
            <w:tcW w:w="0" w:type="dxa"/>
          </w:tcPr>
          <w:p w14:paraId="0B3C34C0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0.920</w:t>
            </w:r>
          </w:p>
        </w:tc>
      </w:tr>
      <w:tr w:rsidR="00175395" w:rsidRPr="003C1EEC" w14:paraId="31816749" w14:textId="77777777" w:rsidTr="004217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24F4589" w14:textId="77777777" w:rsidR="00175395" w:rsidRPr="003C1EEC" w:rsidRDefault="00175395" w:rsidP="00B61F8E">
            <w:pPr>
              <w:jc w:val="left"/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</w:pPr>
            <w:r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Leukocytes in blood</w:t>
            </w:r>
            <w:r w:rsidRPr="003C1EEC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 xml:space="preserve"> (G/L)</w:t>
            </w:r>
          </w:p>
        </w:tc>
        <w:tc>
          <w:tcPr>
            <w:tcW w:w="0" w:type="dxa"/>
          </w:tcPr>
          <w:p w14:paraId="262B6C2B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eastAsia="Times New Roman" w:cs="Arial"/>
                <w:sz w:val="24"/>
                <w:szCs w:val="24"/>
                <w:lang w:val="en-US"/>
              </w:rPr>
              <w:t>9.5 (1.2 – 41.0; 6 NA)</w:t>
            </w:r>
          </w:p>
        </w:tc>
        <w:tc>
          <w:tcPr>
            <w:tcW w:w="0" w:type="dxa"/>
          </w:tcPr>
          <w:p w14:paraId="6AE16777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eastAsia="Times New Roman" w:cs="Arial"/>
                <w:sz w:val="24"/>
                <w:szCs w:val="24"/>
                <w:lang w:val="en-US"/>
              </w:rPr>
              <w:t>6.2 (2.2 – 20.4)</w:t>
            </w:r>
          </w:p>
        </w:tc>
        <w:tc>
          <w:tcPr>
            <w:tcW w:w="0" w:type="dxa"/>
          </w:tcPr>
          <w:p w14:paraId="644B22C2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&lt;</w:t>
            </w:r>
            <w:r>
              <w:rPr>
                <w:rFonts w:cs="Arial"/>
                <w:sz w:val="24"/>
                <w:szCs w:val="24"/>
                <w:lang w:val="en-US"/>
              </w:rPr>
              <w:t>0.001</w:t>
            </w:r>
          </w:p>
        </w:tc>
      </w:tr>
      <w:tr w:rsidR="00175395" w:rsidRPr="003C1EEC" w14:paraId="6D7E88D3" w14:textId="77777777" w:rsidTr="00421746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C642A32" w14:textId="77777777" w:rsidR="00175395" w:rsidRPr="003C1EEC" w:rsidRDefault="00175395" w:rsidP="00B61F8E">
            <w:pPr>
              <w:jc w:val="left"/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Platelets</w:t>
            </w:r>
            <w:r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 xml:space="preserve"> in blood</w:t>
            </w:r>
            <w:r w:rsidRPr="003C1EEC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 xml:space="preserve"> (G/L)</w:t>
            </w:r>
          </w:p>
        </w:tc>
        <w:tc>
          <w:tcPr>
            <w:tcW w:w="0" w:type="dxa"/>
          </w:tcPr>
          <w:p w14:paraId="39B38F5D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113 (4-676; 6 NA)</w:t>
            </w:r>
          </w:p>
        </w:tc>
        <w:tc>
          <w:tcPr>
            <w:tcW w:w="0" w:type="dxa"/>
          </w:tcPr>
          <w:p w14:paraId="388FBC66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128 (20-420; 1 NA)</w:t>
            </w:r>
          </w:p>
        </w:tc>
        <w:tc>
          <w:tcPr>
            <w:tcW w:w="0" w:type="dxa"/>
          </w:tcPr>
          <w:p w14:paraId="7D3B782E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0.034</w:t>
            </w:r>
          </w:p>
        </w:tc>
      </w:tr>
      <w:tr w:rsidR="00175395" w:rsidRPr="003C1EEC" w14:paraId="7854BE71" w14:textId="77777777" w:rsidTr="004217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A53FA45" w14:textId="77777777" w:rsidR="00175395" w:rsidRPr="003C1EEC" w:rsidRDefault="00175395" w:rsidP="00B61F8E">
            <w:pPr>
              <w:jc w:val="left"/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 xml:space="preserve">Internationalized normalized ratio </w:t>
            </w:r>
          </w:p>
        </w:tc>
        <w:tc>
          <w:tcPr>
            <w:tcW w:w="0" w:type="dxa"/>
          </w:tcPr>
          <w:p w14:paraId="72B4E708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1.5 (0.9-7.1; 47 NA)</w:t>
            </w:r>
          </w:p>
        </w:tc>
        <w:tc>
          <w:tcPr>
            <w:tcW w:w="0" w:type="dxa"/>
          </w:tcPr>
          <w:p w14:paraId="21100011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1.4 (1.0-3.1; 4 NA)</w:t>
            </w:r>
          </w:p>
        </w:tc>
        <w:tc>
          <w:tcPr>
            <w:tcW w:w="0" w:type="dxa"/>
          </w:tcPr>
          <w:p w14:paraId="7DDF3DDA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&lt;</w:t>
            </w:r>
            <w:r>
              <w:rPr>
                <w:rFonts w:cs="Arial"/>
                <w:sz w:val="24"/>
                <w:szCs w:val="24"/>
                <w:lang w:val="en-US"/>
              </w:rPr>
              <w:t>0.001</w:t>
            </w:r>
          </w:p>
        </w:tc>
      </w:tr>
      <w:tr w:rsidR="00175395" w:rsidRPr="003C1EEC" w14:paraId="30C72CD0" w14:textId="77777777" w:rsidTr="00421746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4"/>
          </w:tcPr>
          <w:p w14:paraId="7574DD10" w14:textId="77777777" w:rsidR="0055569E" w:rsidRDefault="0055569E" w:rsidP="00B61F8E">
            <w:pPr>
              <w:spacing w:before="120"/>
              <w:jc w:val="left"/>
              <w:rPr>
                <w:rFonts w:cs="Arial"/>
                <w:b/>
                <w:bCs/>
                <w:sz w:val="24"/>
                <w:szCs w:val="24"/>
                <w:lang w:val="en-US"/>
              </w:rPr>
            </w:pPr>
          </w:p>
          <w:p w14:paraId="1A2D0FCA" w14:textId="77777777" w:rsidR="0055569E" w:rsidRDefault="0055569E" w:rsidP="00B61F8E">
            <w:pPr>
              <w:spacing w:before="120"/>
              <w:jc w:val="left"/>
              <w:rPr>
                <w:rFonts w:cs="Arial"/>
                <w:b/>
                <w:bCs/>
                <w:sz w:val="24"/>
                <w:szCs w:val="24"/>
                <w:lang w:val="en-US"/>
              </w:rPr>
            </w:pPr>
          </w:p>
          <w:p w14:paraId="661AE4C4" w14:textId="1F51A4D4" w:rsidR="00175395" w:rsidRPr="003C1EEC" w:rsidRDefault="00175395" w:rsidP="00B61F8E">
            <w:pPr>
              <w:spacing w:before="120"/>
              <w:jc w:val="left"/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b/>
                <w:bCs/>
                <w:i w:val="0"/>
                <w:iCs w:val="0"/>
                <w:sz w:val="24"/>
                <w:szCs w:val="24"/>
                <w:lang w:val="en-US"/>
              </w:rPr>
              <w:lastRenderedPageBreak/>
              <w:t>Clinical scores</w:t>
            </w:r>
          </w:p>
        </w:tc>
      </w:tr>
      <w:tr w:rsidR="00175395" w:rsidRPr="003C1EEC" w14:paraId="450FEC85" w14:textId="77777777" w:rsidTr="004217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40EF9D5" w14:textId="77777777" w:rsidR="00175395" w:rsidRPr="003C1EEC" w:rsidRDefault="00175395" w:rsidP="00B61F8E">
            <w:pPr>
              <w:jc w:val="left"/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lastRenderedPageBreak/>
              <w:t>ACLF score &gt;</w:t>
            </w:r>
            <w:r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dxa"/>
          </w:tcPr>
          <w:p w14:paraId="2D934B27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63.8% (363/569)</w:t>
            </w:r>
          </w:p>
        </w:tc>
        <w:tc>
          <w:tcPr>
            <w:tcW w:w="0" w:type="dxa"/>
          </w:tcPr>
          <w:p w14:paraId="06B6EACB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22.1% (29/131)</w:t>
            </w:r>
          </w:p>
        </w:tc>
        <w:tc>
          <w:tcPr>
            <w:tcW w:w="0" w:type="dxa"/>
          </w:tcPr>
          <w:p w14:paraId="325A1622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&lt;</w:t>
            </w:r>
            <w:r>
              <w:rPr>
                <w:rFonts w:cs="Arial"/>
                <w:sz w:val="24"/>
                <w:szCs w:val="24"/>
                <w:lang w:val="en-US"/>
              </w:rPr>
              <w:t>0.001</w:t>
            </w:r>
          </w:p>
        </w:tc>
      </w:tr>
      <w:tr w:rsidR="00175395" w:rsidRPr="003C1EEC" w14:paraId="583C7FF3" w14:textId="77777777" w:rsidTr="00421746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EF17FD0" w14:textId="77777777" w:rsidR="00175395" w:rsidRPr="003C1EEC" w:rsidRDefault="00175395" w:rsidP="00B61F8E">
            <w:pPr>
              <w:ind w:left="720"/>
              <w:jc w:val="left"/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</w:pPr>
            <w:r w:rsidRPr="003C1EEC">
              <w:rPr>
                <w:rFonts w:eastAsia="Times New Roman" w:cs="Arial"/>
                <w:i w:val="0"/>
                <w:iCs w:val="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0" w:type="dxa"/>
          </w:tcPr>
          <w:p w14:paraId="61C10BB4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eastAsia="Times New Roman" w:cs="Arial"/>
                <w:sz w:val="24"/>
                <w:szCs w:val="24"/>
                <w:lang w:val="en-US"/>
              </w:rPr>
              <w:t>36.2% (206/569)</w:t>
            </w:r>
          </w:p>
        </w:tc>
        <w:tc>
          <w:tcPr>
            <w:tcW w:w="0" w:type="dxa"/>
          </w:tcPr>
          <w:p w14:paraId="45EADA9F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eastAsia="Times New Roman" w:cs="Arial"/>
                <w:sz w:val="24"/>
                <w:szCs w:val="24"/>
                <w:lang w:val="en-US"/>
              </w:rPr>
              <w:t>77.9% (102/131)</w:t>
            </w:r>
          </w:p>
        </w:tc>
        <w:tc>
          <w:tcPr>
            <w:tcW w:w="0" w:type="dxa"/>
          </w:tcPr>
          <w:p w14:paraId="5DD1E49F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175395" w:rsidRPr="003C1EEC" w14:paraId="746F5FA2" w14:textId="77777777" w:rsidTr="004217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4058577" w14:textId="77777777" w:rsidR="00175395" w:rsidRPr="003C1EEC" w:rsidRDefault="00175395" w:rsidP="00B61F8E">
            <w:pPr>
              <w:ind w:left="720"/>
              <w:jc w:val="left"/>
              <w:rPr>
                <w:rFonts w:eastAsia="Times New Roman" w:cs="Arial"/>
                <w:i w:val="0"/>
                <w:iCs w:val="0"/>
                <w:sz w:val="24"/>
                <w:szCs w:val="24"/>
                <w:lang w:val="en-US"/>
              </w:rPr>
            </w:pPr>
            <w:r w:rsidRPr="003C1EEC">
              <w:rPr>
                <w:rFonts w:eastAsia="Times New Roman" w:cs="Arial"/>
                <w:i w:val="0"/>
                <w:iCs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0" w:type="dxa"/>
          </w:tcPr>
          <w:p w14:paraId="02DDE733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val="en-US"/>
              </w:rPr>
            </w:pPr>
            <w:r w:rsidRPr="003C1EEC">
              <w:rPr>
                <w:rFonts w:eastAsia="Times New Roman" w:cs="Arial"/>
                <w:sz w:val="24"/>
                <w:szCs w:val="24"/>
                <w:lang w:val="en-US"/>
              </w:rPr>
              <w:t>18.8% (107/569)</w:t>
            </w:r>
          </w:p>
        </w:tc>
        <w:tc>
          <w:tcPr>
            <w:tcW w:w="0" w:type="dxa"/>
          </w:tcPr>
          <w:p w14:paraId="15FB2F26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val="en-US"/>
              </w:rPr>
            </w:pPr>
            <w:r w:rsidRPr="003C1EEC">
              <w:rPr>
                <w:rFonts w:eastAsia="Times New Roman" w:cs="Arial"/>
                <w:sz w:val="24"/>
                <w:szCs w:val="24"/>
                <w:lang w:val="en-US"/>
              </w:rPr>
              <w:t>7.6% (10/131)</w:t>
            </w:r>
          </w:p>
        </w:tc>
        <w:tc>
          <w:tcPr>
            <w:tcW w:w="0" w:type="dxa"/>
          </w:tcPr>
          <w:p w14:paraId="604C914F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175395" w:rsidRPr="003C1EEC" w14:paraId="6F014170" w14:textId="77777777" w:rsidTr="00421746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FB4C52E" w14:textId="77777777" w:rsidR="00175395" w:rsidRPr="003C1EEC" w:rsidRDefault="00175395" w:rsidP="00B61F8E">
            <w:pPr>
              <w:ind w:left="720"/>
              <w:jc w:val="left"/>
              <w:rPr>
                <w:rFonts w:eastAsia="Times New Roman" w:cs="Arial"/>
                <w:i w:val="0"/>
                <w:iCs w:val="0"/>
                <w:sz w:val="24"/>
                <w:szCs w:val="24"/>
                <w:lang w:val="en-US"/>
              </w:rPr>
            </w:pPr>
            <w:r w:rsidRPr="003C1EEC">
              <w:rPr>
                <w:rFonts w:eastAsia="Times New Roman" w:cs="Arial"/>
                <w:i w:val="0"/>
                <w:iCs w:val="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0" w:type="dxa"/>
          </w:tcPr>
          <w:p w14:paraId="04FD7551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val="en-US"/>
              </w:rPr>
            </w:pPr>
            <w:r w:rsidRPr="003C1EEC">
              <w:rPr>
                <w:rFonts w:eastAsia="Times New Roman" w:cs="Arial"/>
                <w:sz w:val="24"/>
                <w:szCs w:val="24"/>
                <w:lang w:val="en-US"/>
              </w:rPr>
              <w:t>18.1% (103/569)</w:t>
            </w:r>
          </w:p>
        </w:tc>
        <w:tc>
          <w:tcPr>
            <w:tcW w:w="0" w:type="dxa"/>
          </w:tcPr>
          <w:p w14:paraId="0A8A64CB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val="en-US"/>
              </w:rPr>
            </w:pPr>
            <w:r w:rsidRPr="003C1EEC">
              <w:rPr>
                <w:rFonts w:eastAsia="Times New Roman" w:cs="Arial"/>
                <w:sz w:val="24"/>
                <w:szCs w:val="24"/>
                <w:lang w:val="en-US"/>
              </w:rPr>
              <w:t>9.2% (12/131)</w:t>
            </w:r>
          </w:p>
        </w:tc>
        <w:tc>
          <w:tcPr>
            <w:tcW w:w="0" w:type="dxa"/>
          </w:tcPr>
          <w:p w14:paraId="7A497458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175395" w:rsidRPr="003C1EEC" w14:paraId="535F02B3" w14:textId="77777777" w:rsidTr="004217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E384E11" w14:textId="77777777" w:rsidR="00175395" w:rsidRPr="003C1EEC" w:rsidRDefault="00175395" w:rsidP="00B61F8E">
            <w:pPr>
              <w:ind w:left="720"/>
              <w:jc w:val="left"/>
              <w:rPr>
                <w:rFonts w:eastAsia="Times New Roman" w:cs="Arial"/>
                <w:i w:val="0"/>
                <w:iCs w:val="0"/>
                <w:sz w:val="24"/>
                <w:szCs w:val="24"/>
                <w:lang w:val="en-US"/>
              </w:rPr>
            </w:pPr>
            <w:r w:rsidRPr="003C1EEC">
              <w:rPr>
                <w:rFonts w:eastAsia="Times New Roman" w:cs="Arial"/>
                <w:i w:val="0"/>
                <w:iCs w:val="0"/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0" w:type="dxa"/>
          </w:tcPr>
          <w:p w14:paraId="711796B3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val="en-US"/>
              </w:rPr>
            </w:pPr>
            <w:r w:rsidRPr="003C1EEC">
              <w:rPr>
                <w:rFonts w:eastAsia="Times New Roman" w:cs="Arial"/>
                <w:sz w:val="24"/>
                <w:szCs w:val="24"/>
                <w:lang w:val="en-US"/>
              </w:rPr>
              <w:t>26.9% (153/569)</w:t>
            </w:r>
          </w:p>
        </w:tc>
        <w:tc>
          <w:tcPr>
            <w:tcW w:w="0" w:type="dxa"/>
          </w:tcPr>
          <w:p w14:paraId="30FD3788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val="en-US"/>
              </w:rPr>
            </w:pPr>
            <w:r w:rsidRPr="003C1EEC">
              <w:rPr>
                <w:rFonts w:eastAsia="Times New Roman" w:cs="Arial"/>
                <w:sz w:val="24"/>
                <w:szCs w:val="24"/>
                <w:lang w:val="en-US"/>
              </w:rPr>
              <w:t>5.3% (7/131)</w:t>
            </w:r>
          </w:p>
        </w:tc>
        <w:tc>
          <w:tcPr>
            <w:tcW w:w="0" w:type="dxa"/>
          </w:tcPr>
          <w:p w14:paraId="7D482276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175395" w:rsidRPr="003C1EEC" w14:paraId="7319BE02" w14:textId="77777777" w:rsidTr="00421746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EF7745A" w14:textId="77777777" w:rsidR="00175395" w:rsidRPr="003C1EEC" w:rsidRDefault="00175395" w:rsidP="00B61F8E">
            <w:pPr>
              <w:jc w:val="left"/>
              <w:rPr>
                <w:rFonts w:eastAsia="Times New Roman" w:cs="Arial"/>
                <w:i w:val="0"/>
                <w:iCs w:val="0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Child</w:t>
            </w:r>
            <w:r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-</w:t>
            </w:r>
            <w:r w:rsidRPr="003C1EEC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Pugh score</w:t>
            </w:r>
          </w:p>
        </w:tc>
        <w:tc>
          <w:tcPr>
            <w:tcW w:w="0" w:type="dxa"/>
          </w:tcPr>
          <w:p w14:paraId="76378D0A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val="en-US"/>
              </w:rPr>
            </w:pPr>
            <w:r w:rsidRPr="003C1EEC">
              <w:rPr>
                <w:rFonts w:eastAsia="Times New Roman" w:cs="Arial"/>
                <w:sz w:val="24"/>
                <w:szCs w:val="24"/>
                <w:lang w:val="en-US"/>
              </w:rPr>
              <w:t>10 (7-15)</w:t>
            </w:r>
          </w:p>
        </w:tc>
        <w:tc>
          <w:tcPr>
            <w:tcW w:w="0" w:type="dxa"/>
          </w:tcPr>
          <w:p w14:paraId="4C2AABA6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val="en-US"/>
              </w:rPr>
            </w:pPr>
            <w:r w:rsidRPr="003C1EEC">
              <w:rPr>
                <w:rFonts w:eastAsia="Times New Roman" w:cs="Arial"/>
                <w:sz w:val="24"/>
                <w:szCs w:val="24"/>
                <w:lang w:val="en-US"/>
              </w:rPr>
              <w:t>9 (7-13)</w:t>
            </w:r>
          </w:p>
        </w:tc>
        <w:tc>
          <w:tcPr>
            <w:tcW w:w="0" w:type="dxa"/>
          </w:tcPr>
          <w:p w14:paraId="1C07D241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&lt;</w:t>
            </w:r>
            <w:r>
              <w:rPr>
                <w:rFonts w:cs="Arial"/>
                <w:sz w:val="24"/>
                <w:szCs w:val="24"/>
                <w:lang w:val="en-US"/>
              </w:rPr>
              <w:t>0.001</w:t>
            </w:r>
          </w:p>
        </w:tc>
      </w:tr>
      <w:tr w:rsidR="00175395" w:rsidRPr="003C1EEC" w14:paraId="5D158EED" w14:textId="77777777" w:rsidTr="004217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D9B4DFC" w14:textId="0B98C94B" w:rsidR="00175395" w:rsidRPr="003C1EEC" w:rsidRDefault="00175395" w:rsidP="00B61F8E">
            <w:pPr>
              <w:jc w:val="left"/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MELD</w:t>
            </w:r>
            <w:r w:rsidR="00420648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>-Na</w:t>
            </w:r>
            <w:r w:rsidRPr="003C1EEC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 xml:space="preserve"> score</w:t>
            </w:r>
          </w:p>
        </w:tc>
        <w:tc>
          <w:tcPr>
            <w:tcW w:w="0" w:type="dxa"/>
          </w:tcPr>
          <w:p w14:paraId="0A0B8EBF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val="en-US"/>
              </w:rPr>
            </w:pPr>
            <w:r w:rsidRPr="003C1EEC">
              <w:rPr>
                <w:rFonts w:eastAsia="Times New Roman" w:cs="Arial"/>
                <w:sz w:val="24"/>
                <w:szCs w:val="24"/>
                <w:lang w:val="en-US"/>
              </w:rPr>
              <w:t>26.5 (6.2 - 40.0; 110 NA)</w:t>
            </w:r>
          </w:p>
        </w:tc>
        <w:tc>
          <w:tcPr>
            <w:tcW w:w="0" w:type="dxa"/>
          </w:tcPr>
          <w:p w14:paraId="786FF2D3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val="en-US"/>
              </w:rPr>
            </w:pPr>
            <w:r w:rsidRPr="003C1EEC">
              <w:rPr>
                <w:rFonts w:eastAsia="Times New Roman" w:cs="Arial"/>
                <w:sz w:val="24"/>
                <w:szCs w:val="24"/>
                <w:lang w:val="en-US"/>
              </w:rPr>
              <w:t xml:space="preserve">19.0 (7.5 </w:t>
            </w:r>
            <w:r>
              <w:rPr>
                <w:rFonts w:eastAsia="Times New Roman" w:cs="Arial"/>
                <w:sz w:val="24"/>
                <w:szCs w:val="24"/>
                <w:lang w:val="en-US"/>
              </w:rPr>
              <w:t>-</w:t>
            </w:r>
            <w:r w:rsidRPr="003C1EEC">
              <w:rPr>
                <w:rFonts w:eastAsia="Times New Roman" w:cs="Arial"/>
                <w:sz w:val="24"/>
                <w:szCs w:val="24"/>
                <w:lang w:val="en-US"/>
              </w:rPr>
              <w:t xml:space="preserve"> 39.0; 15 NA)</w:t>
            </w:r>
          </w:p>
        </w:tc>
        <w:tc>
          <w:tcPr>
            <w:tcW w:w="0" w:type="dxa"/>
          </w:tcPr>
          <w:p w14:paraId="79C386C1" w14:textId="77777777" w:rsidR="00175395" w:rsidRPr="003C1EEC" w:rsidRDefault="00175395" w:rsidP="00B61F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&lt;</w:t>
            </w:r>
            <w:r>
              <w:rPr>
                <w:rFonts w:cs="Arial"/>
                <w:sz w:val="24"/>
                <w:szCs w:val="24"/>
                <w:lang w:val="en-US"/>
              </w:rPr>
              <w:t>0.001</w:t>
            </w:r>
          </w:p>
        </w:tc>
      </w:tr>
      <w:tr w:rsidR="00175395" w:rsidRPr="003C1EEC" w14:paraId="65A66B95" w14:textId="77777777" w:rsidTr="00421746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F18FAD5" w14:textId="77777777" w:rsidR="00175395" w:rsidRPr="003C1EEC" w:rsidRDefault="00175395" w:rsidP="00B61F8E">
            <w:pPr>
              <w:jc w:val="left"/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i w:val="0"/>
                <w:iCs w:val="0"/>
                <w:sz w:val="24"/>
                <w:szCs w:val="24"/>
                <w:lang w:val="en-US"/>
              </w:rPr>
              <w:t xml:space="preserve">Charlson Comorbidity Index </w:t>
            </w:r>
          </w:p>
        </w:tc>
        <w:tc>
          <w:tcPr>
            <w:tcW w:w="0" w:type="dxa"/>
          </w:tcPr>
          <w:p w14:paraId="1C5B83F7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val="en-US"/>
              </w:rPr>
            </w:pPr>
            <w:r w:rsidRPr="003C1EEC">
              <w:rPr>
                <w:rFonts w:eastAsia="Times New Roman" w:cs="Arial"/>
                <w:sz w:val="24"/>
                <w:szCs w:val="24"/>
                <w:lang w:val="en-US"/>
              </w:rPr>
              <w:t>7 (3-20)</w:t>
            </w:r>
          </w:p>
        </w:tc>
        <w:tc>
          <w:tcPr>
            <w:tcW w:w="0" w:type="dxa"/>
          </w:tcPr>
          <w:p w14:paraId="7DE25240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val="en-US"/>
              </w:rPr>
            </w:pPr>
            <w:r w:rsidRPr="003C1EEC">
              <w:rPr>
                <w:rFonts w:eastAsia="Times New Roman" w:cs="Arial"/>
                <w:sz w:val="24"/>
                <w:szCs w:val="24"/>
                <w:lang w:val="en-US"/>
              </w:rPr>
              <w:t>6 (3-14)</w:t>
            </w:r>
          </w:p>
        </w:tc>
        <w:tc>
          <w:tcPr>
            <w:tcW w:w="0" w:type="dxa"/>
          </w:tcPr>
          <w:p w14:paraId="6E7A51F1" w14:textId="77777777" w:rsidR="00175395" w:rsidRPr="003C1EEC" w:rsidRDefault="00175395" w:rsidP="00B61F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n-US"/>
              </w:rPr>
            </w:pPr>
            <w:r w:rsidRPr="003C1EEC">
              <w:rPr>
                <w:rFonts w:cs="Arial"/>
                <w:sz w:val="24"/>
                <w:szCs w:val="24"/>
                <w:lang w:val="en-US"/>
              </w:rPr>
              <w:t>&lt;</w:t>
            </w:r>
            <w:r>
              <w:rPr>
                <w:rFonts w:cs="Arial"/>
                <w:sz w:val="24"/>
                <w:szCs w:val="24"/>
                <w:lang w:val="en-US"/>
              </w:rPr>
              <w:t>0.001</w:t>
            </w:r>
          </w:p>
        </w:tc>
      </w:tr>
    </w:tbl>
    <w:p w14:paraId="3C7A15A9" w14:textId="77777777" w:rsidR="00175395" w:rsidRDefault="00175395" w:rsidP="00175395">
      <w:pPr>
        <w:rPr>
          <w:rFonts w:cs="Arial"/>
          <w:sz w:val="24"/>
          <w:szCs w:val="24"/>
          <w:lang w:val="en-US"/>
        </w:rPr>
      </w:pPr>
    </w:p>
    <w:p w14:paraId="5046B43B" w14:textId="77777777" w:rsidR="00DC66F1" w:rsidRDefault="00DC66F1"/>
    <w:sectPr w:rsidR="00DC66F1" w:rsidSect="003D4CD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395"/>
    <w:rsid w:val="000C71C0"/>
    <w:rsid w:val="00175395"/>
    <w:rsid w:val="003D4CD7"/>
    <w:rsid w:val="00420648"/>
    <w:rsid w:val="00421746"/>
    <w:rsid w:val="0055569E"/>
    <w:rsid w:val="005641E5"/>
    <w:rsid w:val="006D7184"/>
    <w:rsid w:val="00713910"/>
    <w:rsid w:val="008B69DA"/>
    <w:rsid w:val="008F1FC0"/>
    <w:rsid w:val="009628FE"/>
    <w:rsid w:val="00BA42C9"/>
    <w:rsid w:val="00C05C28"/>
    <w:rsid w:val="00C11DE2"/>
    <w:rsid w:val="00D21905"/>
    <w:rsid w:val="00DC66F1"/>
    <w:rsid w:val="00E8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61576"/>
  <w15:chartTrackingRefBased/>
  <w15:docId w15:val="{47CD23DE-4165-CF46-8EA6-BE7051003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395"/>
    <w:pPr>
      <w:spacing w:after="160" w:line="259" w:lineRule="auto"/>
    </w:pPr>
    <w:rPr>
      <w:rFonts w:ascii="Arial" w:eastAsiaTheme="minorEastAsia" w:hAnsi="Arial"/>
      <w:sz w:val="22"/>
      <w:szCs w:val="22"/>
      <w:lang w:val="en-GB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3-Accent3">
    <w:name w:val="Grid Table 3 Accent 3"/>
    <w:basedOn w:val="TableNormal"/>
    <w:uiPriority w:val="48"/>
    <w:rsid w:val="00175395"/>
    <w:rPr>
      <w:rFonts w:eastAsiaTheme="minorEastAsia"/>
      <w:sz w:val="22"/>
      <w:szCs w:val="22"/>
      <w:lang w:val="en-US" w:eastAsia="zh-TW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641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1E5"/>
    <w:rPr>
      <w:rFonts w:ascii="Segoe UI" w:eastAsiaTheme="minorEastAsia" w:hAnsi="Segoe UI" w:cs="Segoe UI"/>
      <w:sz w:val="18"/>
      <w:szCs w:val="18"/>
      <w:lang w:val="en-GB" w:eastAsia="zh-TW"/>
    </w:rPr>
  </w:style>
  <w:style w:type="paragraph" w:styleId="Revision">
    <w:name w:val="Revision"/>
    <w:hidden/>
    <w:uiPriority w:val="99"/>
    <w:semiHidden/>
    <w:rsid w:val="00713910"/>
    <w:rPr>
      <w:rFonts w:ascii="Arial" w:eastAsiaTheme="minorEastAsia" w:hAnsi="Arial"/>
      <w:sz w:val="22"/>
      <w:szCs w:val="22"/>
      <w:lang w:val="en-GB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Würstle</cp:lastModifiedBy>
  <cp:revision>7</cp:revision>
  <dcterms:created xsi:type="dcterms:W3CDTF">2022-06-17T18:38:00Z</dcterms:created>
  <dcterms:modified xsi:type="dcterms:W3CDTF">2022-07-03T11:44:00Z</dcterms:modified>
</cp:coreProperties>
</file>