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4250" w14:textId="0DDE87E6" w:rsidR="00753ED1" w:rsidRPr="00810897" w:rsidRDefault="00D41540" w:rsidP="00810897">
      <w:pPr>
        <w:pStyle w:val="NormalWeb"/>
        <w:spacing w:line="360" w:lineRule="auto"/>
        <w:jc w:val="center"/>
        <w:rPr>
          <w:sz w:val="32"/>
          <w:szCs w:val="32"/>
        </w:rPr>
      </w:pPr>
      <w:r w:rsidRPr="00810897">
        <w:rPr>
          <w:sz w:val="32"/>
          <w:szCs w:val="32"/>
        </w:rPr>
        <w:t>Supplementary Information for</w:t>
      </w:r>
    </w:p>
    <w:p w14:paraId="19BCF2B2" w14:textId="473764FD" w:rsidR="00753ED1" w:rsidRPr="00810897" w:rsidRDefault="00D41540" w:rsidP="00810897">
      <w:pPr>
        <w:pStyle w:val="NormalWeb"/>
        <w:spacing w:line="360" w:lineRule="auto"/>
        <w:jc w:val="center"/>
        <w:rPr>
          <w:b/>
          <w:bCs/>
        </w:rPr>
      </w:pPr>
      <w:r w:rsidRPr="00810897">
        <w:rPr>
          <w:b/>
          <w:bCs/>
          <w:sz w:val="32"/>
          <w:szCs w:val="32"/>
        </w:rPr>
        <w:t>NH</w:t>
      </w:r>
      <w:r w:rsidRPr="00810897">
        <w:rPr>
          <w:b/>
          <w:bCs/>
          <w:sz w:val="32"/>
          <w:szCs w:val="32"/>
          <w:vertAlign w:val="subscript"/>
        </w:rPr>
        <w:t>3</w:t>
      </w:r>
      <w:r w:rsidRPr="00810897">
        <w:rPr>
          <w:b/>
          <w:bCs/>
          <w:sz w:val="32"/>
          <w:szCs w:val="32"/>
        </w:rPr>
        <w:t xml:space="preserve"> emissions over Europe during COVID-19 were modulated by changes in atmospheric chemistry</w:t>
      </w:r>
    </w:p>
    <w:p w14:paraId="4DF2B0BC" w14:textId="77777777" w:rsidR="00810897" w:rsidRPr="0035622F" w:rsidRDefault="00810897" w:rsidP="002815AE">
      <w:pPr>
        <w:spacing w:after="0" w:line="360" w:lineRule="auto"/>
        <w:jc w:val="center"/>
        <w:rPr>
          <w:rFonts w:ascii="Times New Roman" w:eastAsia="Arial Unicode MS" w:hAnsi="Times New Roman" w:cs="Times New Roman"/>
          <w:color w:val="000000"/>
          <w:sz w:val="24"/>
          <w:szCs w:val="24"/>
          <w:bdr w:val="nil"/>
          <w:vertAlign w:val="superscript"/>
          <w:lang w:eastAsia="en-GB"/>
        </w:rPr>
      </w:pPr>
      <w:proofErr w:type="spellStart"/>
      <w:r w:rsidRPr="0035622F">
        <w:rPr>
          <w:rFonts w:ascii="Times New Roman" w:eastAsia="Arial Unicode MS" w:hAnsi="Times New Roman" w:cs="Times New Roman"/>
          <w:b/>
          <w:bCs/>
          <w:color w:val="000000"/>
          <w:sz w:val="24"/>
          <w:szCs w:val="24"/>
          <w:bdr w:val="nil"/>
          <w:lang w:eastAsia="en-GB"/>
        </w:rPr>
        <w:t>Ondřej</w:t>
      </w:r>
      <w:proofErr w:type="spellEnd"/>
      <w:r w:rsidRPr="0035622F">
        <w:rPr>
          <w:rFonts w:ascii="Times New Roman" w:eastAsia="Arial Unicode MS" w:hAnsi="Times New Roman" w:cs="Times New Roman"/>
          <w:b/>
          <w:bCs/>
          <w:color w:val="000000"/>
          <w:sz w:val="24"/>
          <w:szCs w:val="24"/>
          <w:bdr w:val="nil"/>
          <w:lang w:eastAsia="en-GB"/>
        </w:rPr>
        <w:t xml:space="preserve"> Tichý</w:t>
      </w:r>
      <w:r w:rsidRPr="0035622F">
        <w:rPr>
          <w:rFonts w:ascii="Times New Roman" w:eastAsia="Arial Unicode MS" w:hAnsi="Times New Roman" w:cs="Times New Roman"/>
          <w:b/>
          <w:bCs/>
          <w:color w:val="000000"/>
          <w:sz w:val="24"/>
          <w:szCs w:val="24"/>
          <w:bdr w:val="nil"/>
          <w:vertAlign w:val="superscript"/>
          <w:lang w:eastAsia="en-GB"/>
        </w:rPr>
        <w:t>1</w:t>
      </w:r>
      <w:r w:rsidRPr="0035622F">
        <w:rPr>
          <w:rFonts w:ascii="Times New Roman" w:eastAsia="Arial Unicode MS" w:hAnsi="Times New Roman" w:cs="Times New Roman"/>
          <w:b/>
          <w:bCs/>
          <w:color w:val="000000"/>
          <w:sz w:val="24"/>
          <w:szCs w:val="24"/>
          <w:bdr w:val="nil"/>
          <w:lang w:eastAsia="en-GB"/>
        </w:rPr>
        <w:t xml:space="preserve">, </w:t>
      </w:r>
      <w:proofErr w:type="spellStart"/>
      <w:r w:rsidRPr="0035622F">
        <w:rPr>
          <w:rFonts w:ascii="Times New Roman" w:eastAsia="Arial Unicode MS" w:hAnsi="Times New Roman" w:cs="Times New Roman"/>
          <w:b/>
          <w:bCs/>
          <w:color w:val="000000"/>
          <w:sz w:val="24"/>
          <w:szCs w:val="24"/>
          <w:bdr w:val="nil"/>
          <w:lang w:eastAsia="en-GB"/>
        </w:rPr>
        <w:t>Marit</w:t>
      </w:r>
      <w:proofErr w:type="spellEnd"/>
      <w:r w:rsidRPr="0035622F">
        <w:rPr>
          <w:rFonts w:ascii="Times New Roman" w:eastAsia="Arial Unicode MS" w:hAnsi="Times New Roman" w:cs="Times New Roman"/>
          <w:b/>
          <w:bCs/>
          <w:color w:val="000000"/>
          <w:sz w:val="24"/>
          <w:szCs w:val="24"/>
          <w:bdr w:val="nil"/>
          <w:lang w:eastAsia="en-GB"/>
        </w:rPr>
        <w:t xml:space="preserve"> </w:t>
      </w:r>
      <w:proofErr w:type="spellStart"/>
      <w:r w:rsidRPr="0035622F">
        <w:rPr>
          <w:rFonts w:ascii="Times New Roman" w:eastAsia="Arial Unicode MS" w:hAnsi="Times New Roman" w:cs="Times New Roman"/>
          <w:b/>
          <w:bCs/>
          <w:color w:val="000000"/>
          <w:sz w:val="24"/>
          <w:szCs w:val="24"/>
          <w:bdr w:val="nil"/>
          <w:lang w:eastAsia="en-GB"/>
        </w:rPr>
        <w:t>Svendby</w:t>
      </w:r>
      <w:proofErr w:type="spellEnd"/>
      <w:r w:rsidRPr="0035622F">
        <w:rPr>
          <w:rFonts w:ascii="Times New Roman" w:eastAsia="Arial Unicode MS" w:hAnsi="Times New Roman" w:cs="Times New Roman"/>
          <w:b/>
          <w:bCs/>
          <w:color w:val="000000"/>
          <w:sz w:val="24"/>
          <w:szCs w:val="24"/>
          <w:bdr w:val="nil"/>
          <w:lang w:eastAsia="en-GB"/>
        </w:rPr>
        <w:t xml:space="preserve"> Otervik</w:t>
      </w:r>
      <w:r w:rsidRPr="0035622F">
        <w:rPr>
          <w:rFonts w:ascii="Times New Roman" w:eastAsia="Arial Unicode MS" w:hAnsi="Times New Roman" w:cs="Times New Roman"/>
          <w:b/>
          <w:bCs/>
          <w:color w:val="000000"/>
          <w:sz w:val="24"/>
          <w:szCs w:val="24"/>
          <w:bdr w:val="nil"/>
          <w:vertAlign w:val="superscript"/>
          <w:lang w:eastAsia="en-GB"/>
        </w:rPr>
        <w:t>2</w:t>
      </w:r>
      <w:r w:rsidRPr="0035622F">
        <w:rPr>
          <w:rFonts w:ascii="Times New Roman" w:eastAsia="Arial Unicode MS" w:hAnsi="Times New Roman" w:cs="Times New Roman"/>
          <w:b/>
          <w:bCs/>
          <w:color w:val="000000"/>
          <w:sz w:val="24"/>
          <w:szCs w:val="24"/>
          <w:bdr w:val="nil"/>
          <w:lang w:eastAsia="en-GB"/>
        </w:rPr>
        <w:t xml:space="preserve">, </w:t>
      </w:r>
      <w:proofErr w:type="spellStart"/>
      <w:r w:rsidRPr="0035622F">
        <w:rPr>
          <w:rFonts w:ascii="Times New Roman" w:eastAsia="Arial Unicode MS" w:hAnsi="Times New Roman" w:cs="Times New Roman"/>
          <w:b/>
          <w:bCs/>
          <w:color w:val="000000"/>
          <w:sz w:val="24"/>
          <w:szCs w:val="24"/>
          <w:bdr w:val="nil"/>
          <w:lang w:eastAsia="en-GB"/>
        </w:rPr>
        <w:t>Sabine</w:t>
      </w:r>
      <w:proofErr w:type="spellEnd"/>
      <w:r w:rsidRPr="0035622F">
        <w:rPr>
          <w:rFonts w:ascii="Times New Roman" w:eastAsia="Arial Unicode MS" w:hAnsi="Times New Roman" w:cs="Times New Roman"/>
          <w:b/>
          <w:bCs/>
          <w:color w:val="000000"/>
          <w:sz w:val="24"/>
          <w:szCs w:val="24"/>
          <w:bdr w:val="nil"/>
          <w:lang w:eastAsia="en-GB"/>
        </w:rPr>
        <w:t xml:space="preserve"> Eckhardt</w:t>
      </w:r>
      <w:r w:rsidRPr="0035622F">
        <w:rPr>
          <w:rFonts w:ascii="Times New Roman" w:eastAsia="Arial Unicode MS" w:hAnsi="Times New Roman" w:cs="Times New Roman"/>
          <w:b/>
          <w:bCs/>
          <w:color w:val="000000"/>
          <w:sz w:val="24"/>
          <w:szCs w:val="24"/>
          <w:bdr w:val="nil"/>
          <w:vertAlign w:val="superscript"/>
          <w:lang w:eastAsia="en-GB"/>
        </w:rPr>
        <w:t>2</w:t>
      </w:r>
      <w:r w:rsidRPr="0035622F">
        <w:rPr>
          <w:rFonts w:ascii="Times New Roman" w:eastAsia="Arial Unicode MS" w:hAnsi="Times New Roman" w:cs="Times New Roman"/>
          <w:b/>
          <w:bCs/>
          <w:color w:val="000000"/>
          <w:sz w:val="24"/>
          <w:szCs w:val="24"/>
          <w:bdr w:val="nil"/>
          <w:lang w:eastAsia="en-GB"/>
        </w:rPr>
        <w:t>, Yves Balkanski</w:t>
      </w:r>
      <w:r w:rsidRPr="0035622F">
        <w:rPr>
          <w:rFonts w:ascii="Times New Roman" w:eastAsia="Arial Unicode MS" w:hAnsi="Times New Roman" w:cs="Times New Roman"/>
          <w:b/>
          <w:bCs/>
          <w:color w:val="000000"/>
          <w:sz w:val="24"/>
          <w:szCs w:val="24"/>
          <w:bdr w:val="nil"/>
          <w:vertAlign w:val="superscript"/>
          <w:lang w:eastAsia="en-GB"/>
        </w:rPr>
        <w:t>3</w:t>
      </w:r>
      <w:r w:rsidRPr="0035622F">
        <w:rPr>
          <w:rFonts w:ascii="Times New Roman" w:eastAsia="Arial Unicode MS" w:hAnsi="Times New Roman" w:cs="Times New Roman"/>
          <w:b/>
          <w:bCs/>
          <w:color w:val="000000"/>
          <w:sz w:val="24"/>
          <w:szCs w:val="24"/>
          <w:bdr w:val="nil"/>
          <w:lang w:eastAsia="en-GB"/>
        </w:rPr>
        <w:t xml:space="preserve">, </w:t>
      </w:r>
      <w:proofErr w:type="spellStart"/>
      <w:r w:rsidRPr="0035622F">
        <w:rPr>
          <w:rFonts w:ascii="Times New Roman" w:eastAsia="Arial Unicode MS" w:hAnsi="Times New Roman" w:cs="Times New Roman"/>
          <w:b/>
          <w:bCs/>
          <w:color w:val="000000"/>
          <w:sz w:val="24"/>
          <w:szCs w:val="24"/>
          <w:bdr w:val="nil"/>
          <w:lang w:eastAsia="en-GB"/>
        </w:rPr>
        <w:t>Didier</w:t>
      </w:r>
      <w:proofErr w:type="spellEnd"/>
      <w:r w:rsidRPr="0035622F">
        <w:rPr>
          <w:rFonts w:ascii="Times New Roman" w:eastAsia="Arial Unicode MS" w:hAnsi="Times New Roman" w:cs="Times New Roman"/>
          <w:b/>
          <w:bCs/>
          <w:color w:val="000000"/>
          <w:sz w:val="24"/>
          <w:szCs w:val="24"/>
          <w:bdr w:val="nil"/>
          <w:lang w:eastAsia="en-GB"/>
        </w:rPr>
        <w:t xml:space="preserve"> Hauglustaine</w:t>
      </w:r>
      <w:r w:rsidRPr="0035622F">
        <w:rPr>
          <w:rFonts w:ascii="Times New Roman" w:eastAsia="Arial Unicode MS" w:hAnsi="Times New Roman" w:cs="Times New Roman"/>
          <w:b/>
          <w:bCs/>
          <w:color w:val="000000"/>
          <w:sz w:val="24"/>
          <w:szCs w:val="24"/>
          <w:bdr w:val="nil"/>
          <w:vertAlign w:val="superscript"/>
          <w:lang w:eastAsia="en-GB"/>
        </w:rPr>
        <w:t>3</w:t>
      </w:r>
      <w:r w:rsidRPr="0035622F">
        <w:rPr>
          <w:rFonts w:ascii="Times New Roman" w:eastAsia="Arial Unicode MS" w:hAnsi="Times New Roman" w:cs="Times New Roman"/>
          <w:b/>
          <w:bCs/>
          <w:color w:val="000000"/>
          <w:sz w:val="24"/>
          <w:szCs w:val="24"/>
          <w:bdr w:val="nil"/>
          <w:lang w:eastAsia="en-GB"/>
        </w:rPr>
        <w:t>, Nikolaos Evangeliou</w:t>
      </w:r>
      <w:proofErr w:type="gramStart"/>
      <w:r w:rsidRPr="0035622F">
        <w:rPr>
          <w:rFonts w:ascii="Times New Roman" w:eastAsia="Arial Unicode MS" w:hAnsi="Times New Roman" w:cs="Times New Roman"/>
          <w:b/>
          <w:bCs/>
          <w:color w:val="000000"/>
          <w:sz w:val="24"/>
          <w:szCs w:val="24"/>
          <w:bdr w:val="nil"/>
          <w:vertAlign w:val="superscript"/>
          <w:lang w:eastAsia="en-GB"/>
        </w:rPr>
        <w:t>2</w:t>
      </w:r>
      <w:r w:rsidRPr="0035622F">
        <w:rPr>
          <w:rFonts w:ascii="Arial" w:hAnsi="Arial" w:cs="Arial"/>
          <w:b/>
          <w:bCs/>
          <w:vertAlign w:val="superscript"/>
        </w:rPr>
        <w:t>,</w:t>
      </w:r>
      <w:r w:rsidRPr="0035622F">
        <w:rPr>
          <w:rFonts w:ascii="Arial" w:hAnsi="Arial" w:cs="Arial"/>
          <w:b/>
          <w:bCs/>
        </w:rPr>
        <w:t>*</w:t>
      </w:r>
      <w:proofErr w:type="gramEnd"/>
    </w:p>
    <w:p w14:paraId="7272EC8B" w14:textId="77777777" w:rsidR="00810897" w:rsidRPr="0035622F" w:rsidRDefault="00810897" w:rsidP="002815AE">
      <w:pPr>
        <w:spacing w:after="0" w:line="360" w:lineRule="auto"/>
        <w:jc w:val="center"/>
        <w:rPr>
          <w:rFonts w:ascii="Times New Roman" w:eastAsia="Arial Unicode MS" w:hAnsi="Times New Roman" w:cs="Times New Roman"/>
          <w:color w:val="000000"/>
          <w:sz w:val="24"/>
          <w:szCs w:val="24"/>
          <w:u w:color="000000"/>
          <w:bdr w:val="nil"/>
          <w:vertAlign w:val="superscript"/>
          <w:lang w:eastAsia="en-GB"/>
        </w:rPr>
      </w:pPr>
    </w:p>
    <w:p w14:paraId="3DE97EF1" w14:textId="77777777" w:rsidR="00810897" w:rsidRPr="0035622F" w:rsidRDefault="00810897" w:rsidP="002815AE">
      <w:pPr>
        <w:spacing w:after="0" w:line="360" w:lineRule="auto"/>
        <w:jc w:val="center"/>
        <w:rPr>
          <w:rFonts w:ascii="Times New Roman" w:eastAsia="Arial Unicode MS" w:hAnsi="Times New Roman" w:cs="Times New Roman"/>
          <w:color w:val="000000"/>
          <w:sz w:val="24"/>
          <w:szCs w:val="24"/>
          <w:u w:color="000000"/>
          <w:bdr w:val="nil"/>
          <w:lang w:eastAsia="en-GB"/>
        </w:rPr>
      </w:pPr>
      <w:r w:rsidRPr="0035622F">
        <w:rPr>
          <w:rFonts w:ascii="Times New Roman" w:eastAsia="Arial Unicode MS" w:hAnsi="Times New Roman" w:cs="Times New Roman"/>
          <w:color w:val="000000"/>
          <w:sz w:val="24"/>
          <w:szCs w:val="24"/>
          <w:u w:color="000000"/>
          <w:bdr w:val="nil"/>
          <w:vertAlign w:val="superscript"/>
          <w:lang w:eastAsia="en-GB"/>
        </w:rPr>
        <w:t xml:space="preserve">1 </w:t>
      </w:r>
      <w:r w:rsidRPr="0035622F">
        <w:rPr>
          <w:rFonts w:ascii="Times New Roman" w:eastAsia="Arial Unicode MS" w:hAnsi="Times New Roman" w:cs="Times New Roman"/>
          <w:color w:val="000000"/>
          <w:sz w:val="24"/>
          <w:szCs w:val="24"/>
          <w:u w:color="000000"/>
          <w:bdr w:val="nil"/>
          <w:lang w:eastAsia="en-GB"/>
        </w:rPr>
        <w:t xml:space="preserve">The Czech Academy </w:t>
      </w:r>
      <w:proofErr w:type="spellStart"/>
      <w:r w:rsidRPr="0035622F">
        <w:rPr>
          <w:rFonts w:ascii="Times New Roman" w:eastAsia="Arial Unicode MS" w:hAnsi="Times New Roman" w:cs="Times New Roman"/>
          <w:color w:val="000000"/>
          <w:sz w:val="24"/>
          <w:szCs w:val="24"/>
          <w:u w:color="000000"/>
          <w:bdr w:val="nil"/>
          <w:lang w:eastAsia="en-GB"/>
        </w:rPr>
        <w:t>of</w:t>
      </w:r>
      <w:proofErr w:type="spellEnd"/>
      <w:r w:rsidRPr="0035622F">
        <w:rPr>
          <w:rFonts w:ascii="Times New Roman" w:eastAsia="Arial Unicode MS" w:hAnsi="Times New Roman" w:cs="Times New Roman"/>
          <w:color w:val="000000"/>
          <w:sz w:val="24"/>
          <w:szCs w:val="24"/>
          <w:u w:color="000000"/>
          <w:bdr w:val="nil"/>
          <w:lang w:eastAsia="en-GB"/>
        </w:rPr>
        <w:t xml:space="preserve"> Sciences, Institute </w:t>
      </w:r>
      <w:proofErr w:type="spellStart"/>
      <w:r w:rsidRPr="0035622F">
        <w:rPr>
          <w:rFonts w:ascii="Times New Roman" w:eastAsia="Arial Unicode MS" w:hAnsi="Times New Roman" w:cs="Times New Roman"/>
          <w:color w:val="000000"/>
          <w:sz w:val="24"/>
          <w:szCs w:val="24"/>
          <w:u w:color="000000"/>
          <w:bdr w:val="nil"/>
          <w:lang w:eastAsia="en-GB"/>
        </w:rPr>
        <w:t>of</w:t>
      </w:r>
      <w:proofErr w:type="spellEnd"/>
      <w:r w:rsidRPr="0035622F">
        <w:rPr>
          <w:rFonts w:ascii="Times New Roman" w:eastAsia="Arial Unicode MS" w:hAnsi="Times New Roman" w:cs="Times New Roman"/>
          <w:color w:val="000000"/>
          <w:sz w:val="24"/>
          <w:szCs w:val="24"/>
          <w:u w:color="000000"/>
          <w:bdr w:val="nil"/>
          <w:lang w:eastAsia="en-GB"/>
        </w:rPr>
        <w:t xml:space="preserve"> Information </w:t>
      </w:r>
      <w:proofErr w:type="spellStart"/>
      <w:r w:rsidRPr="0035622F">
        <w:rPr>
          <w:rFonts w:ascii="Times New Roman" w:eastAsia="Arial Unicode MS" w:hAnsi="Times New Roman" w:cs="Times New Roman"/>
          <w:color w:val="000000"/>
          <w:sz w:val="24"/>
          <w:szCs w:val="24"/>
          <w:u w:color="000000"/>
          <w:bdr w:val="nil"/>
          <w:lang w:eastAsia="en-GB"/>
        </w:rPr>
        <w:t>Theory</w:t>
      </w:r>
      <w:proofErr w:type="spellEnd"/>
      <w:r w:rsidRPr="0035622F">
        <w:rPr>
          <w:rFonts w:ascii="Times New Roman" w:eastAsia="Arial Unicode MS" w:hAnsi="Times New Roman" w:cs="Times New Roman"/>
          <w:color w:val="000000"/>
          <w:sz w:val="24"/>
          <w:szCs w:val="24"/>
          <w:u w:color="000000"/>
          <w:bdr w:val="nil"/>
          <w:lang w:eastAsia="en-GB"/>
        </w:rPr>
        <w:t xml:space="preserve"> </w:t>
      </w:r>
      <w:proofErr w:type="spellStart"/>
      <w:r w:rsidRPr="0035622F">
        <w:rPr>
          <w:rFonts w:ascii="Times New Roman" w:eastAsia="Arial Unicode MS" w:hAnsi="Times New Roman" w:cs="Times New Roman"/>
          <w:color w:val="000000"/>
          <w:sz w:val="24"/>
          <w:szCs w:val="24"/>
          <w:u w:color="000000"/>
          <w:bdr w:val="nil"/>
          <w:lang w:eastAsia="en-GB"/>
        </w:rPr>
        <w:t>and</w:t>
      </w:r>
      <w:proofErr w:type="spellEnd"/>
      <w:r w:rsidRPr="0035622F">
        <w:rPr>
          <w:rFonts w:ascii="Times New Roman" w:eastAsia="Arial Unicode MS" w:hAnsi="Times New Roman" w:cs="Times New Roman"/>
          <w:color w:val="000000"/>
          <w:sz w:val="24"/>
          <w:szCs w:val="24"/>
          <w:u w:color="000000"/>
          <w:bdr w:val="nil"/>
          <w:lang w:eastAsia="en-GB"/>
        </w:rPr>
        <w:t xml:space="preserve"> </w:t>
      </w:r>
      <w:proofErr w:type="spellStart"/>
      <w:r w:rsidRPr="0035622F">
        <w:rPr>
          <w:rFonts w:ascii="Times New Roman" w:eastAsia="Arial Unicode MS" w:hAnsi="Times New Roman" w:cs="Times New Roman"/>
          <w:color w:val="000000"/>
          <w:sz w:val="24"/>
          <w:szCs w:val="24"/>
          <w:u w:color="000000"/>
          <w:bdr w:val="nil"/>
          <w:lang w:eastAsia="en-GB"/>
        </w:rPr>
        <w:t>Automation</w:t>
      </w:r>
      <w:proofErr w:type="spellEnd"/>
      <w:r w:rsidRPr="0035622F">
        <w:rPr>
          <w:rFonts w:ascii="Times New Roman" w:eastAsia="Arial Unicode MS" w:hAnsi="Times New Roman" w:cs="Times New Roman"/>
          <w:color w:val="000000"/>
          <w:sz w:val="24"/>
          <w:szCs w:val="24"/>
          <w:u w:color="000000"/>
          <w:bdr w:val="nil"/>
          <w:lang w:eastAsia="en-GB"/>
        </w:rPr>
        <w:t xml:space="preserve">, </w:t>
      </w:r>
      <w:proofErr w:type="spellStart"/>
      <w:r w:rsidRPr="0035622F">
        <w:rPr>
          <w:rFonts w:ascii="Times New Roman" w:eastAsia="Arial Unicode MS" w:hAnsi="Times New Roman" w:cs="Times New Roman"/>
          <w:color w:val="000000"/>
          <w:sz w:val="24"/>
          <w:szCs w:val="24"/>
          <w:u w:color="000000"/>
          <w:bdr w:val="nil"/>
          <w:lang w:eastAsia="en-GB"/>
        </w:rPr>
        <w:t>Prague</w:t>
      </w:r>
      <w:proofErr w:type="spellEnd"/>
      <w:r w:rsidRPr="0035622F">
        <w:rPr>
          <w:rFonts w:ascii="Times New Roman" w:eastAsia="Arial Unicode MS" w:hAnsi="Times New Roman" w:cs="Times New Roman"/>
          <w:color w:val="000000"/>
          <w:sz w:val="24"/>
          <w:szCs w:val="24"/>
          <w:u w:color="000000"/>
          <w:bdr w:val="nil"/>
          <w:lang w:eastAsia="en-GB"/>
        </w:rPr>
        <w:t>, Czech Republic.</w:t>
      </w:r>
    </w:p>
    <w:p w14:paraId="41B7B380" w14:textId="77777777" w:rsidR="00810897" w:rsidRDefault="00810897" w:rsidP="002815AE">
      <w:pPr>
        <w:spacing w:after="0" w:line="360" w:lineRule="auto"/>
        <w:jc w:val="center"/>
        <w:rPr>
          <w:rFonts w:ascii="Times New Roman" w:eastAsia="Arial Unicode MS" w:hAnsi="Times New Roman" w:cs="Times New Roman"/>
          <w:color w:val="000000"/>
          <w:sz w:val="24"/>
          <w:szCs w:val="24"/>
          <w:u w:color="000000"/>
          <w:bdr w:val="nil"/>
          <w:lang w:eastAsia="en-GB"/>
        </w:rPr>
      </w:pPr>
      <w:r w:rsidRPr="0035622F">
        <w:rPr>
          <w:rFonts w:ascii="Times New Roman" w:eastAsia="Arial Unicode MS" w:hAnsi="Times New Roman" w:cs="Times New Roman"/>
          <w:color w:val="000000"/>
          <w:sz w:val="24"/>
          <w:szCs w:val="24"/>
          <w:u w:color="000000"/>
          <w:bdr w:val="nil"/>
          <w:vertAlign w:val="superscript"/>
          <w:lang w:eastAsia="en-GB"/>
        </w:rPr>
        <w:t>2</w:t>
      </w:r>
      <w:r w:rsidRPr="00A82E89">
        <w:rPr>
          <w:rFonts w:ascii="Times New Roman" w:eastAsia="Arial Unicode MS" w:hAnsi="Times New Roman" w:cs="Times New Roman"/>
          <w:color w:val="000000"/>
          <w:sz w:val="24"/>
          <w:szCs w:val="24"/>
          <w:u w:color="000000"/>
          <w:bdr w:val="nil"/>
          <w:vertAlign w:val="superscript"/>
          <w:lang w:eastAsia="en-GB"/>
        </w:rPr>
        <w:t xml:space="preserve"> </w:t>
      </w:r>
      <w:r w:rsidRPr="0035622F">
        <w:rPr>
          <w:rFonts w:ascii="Times New Roman" w:eastAsia="Arial Unicode MS" w:hAnsi="Times New Roman" w:cs="Times New Roman"/>
          <w:color w:val="000000"/>
          <w:sz w:val="24"/>
          <w:szCs w:val="24"/>
          <w:u w:color="000000"/>
          <w:bdr w:val="nil"/>
          <w:lang w:eastAsia="en-GB"/>
        </w:rPr>
        <w:t xml:space="preserve">NILU - </w:t>
      </w:r>
      <w:proofErr w:type="spellStart"/>
      <w:r w:rsidRPr="0035622F">
        <w:rPr>
          <w:rFonts w:ascii="Times New Roman" w:eastAsia="Arial Unicode MS" w:hAnsi="Times New Roman" w:cs="Times New Roman"/>
          <w:color w:val="000000"/>
          <w:sz w:val="24"/>
          <w:szCs w:val="24"/>
          <w:u w:color="000000"/>
          <w:bdr w:val="nil"/>
          <w:lang w:eastAsia="en-GB"/>
        </w:rPr>
        <w:t>Norwegian</w:t>
      </w:r>
      <w:proofErr w:type="spellEnd"/>
      <w:r w:rsidRPr="0035622F">
        <w:rPr>
          <w:rFonts w:ascii="Times New Roman" w:eastAsia="Arial Unicode MS" w:hAnsi="Times New Roman" w:cs="Times New Roman"/>
          <w:color w:val="000000"/>
          <w:sz w:val="24"/>
          <w:szCs w:val="24"/>
          <w:u w:color="000000"/>
          <w:bdr w:val="nil"/>
          <w:lang w:eastAsia="en-GB"/>
        </w:rPr>
        <w:t xml:space="preserve"> Institute </w:t>
      </w:r>
      <w:proofErr w:type="spellStart"/>
      <w:r w:rsidRPr="0035622F">
        <w:rPr>
          <w:rFonts w:ascii="Times New Roman" w:eastAsia="Arial Unicode MS" w:hAnsi="Times New Roman" w:cs="Times New Roman"/>
          <w:color w:val="000000"/>
          <w:sz w:val="24"/>
          <w:szCs w:val="24"/>
          <w:u w:color="000000"/>
          <w:bdr w:val="nil"/>
          <w:lang w:eastAsia="en-GB"/>
        </w:rPr>
        <w:t>for</w:t>
      </w:r>
      <w:proofErr w:type="spellEnd"/>
      <w:r w:rsidRPr="0035622F">
        <w:rPr>
          <w:rFonts w:ascii="Times New Roman" w:eastAsia="Arial Unicode MS" w:hAnsi="Times New Roman" w:cs="Times New Roman"/>
          <w:color w:val="000000"/>
          <w:sz w:val="24"/>
          <w:szCs w:val="24"/>
          <w:u w:color="000000"/>
          <w:bdr w:val="nil"/>
          <w:lang w:eastAsia="en-GB"/>
        </w:rPr>
        <w:t xml:space="preserve"> Air Research, 2007 </w:t>
      </w:r>
      <w:proofErr w:type="spellStart"/>
      <w:r w:rsidRPr="0035622F">
        <w:rPr>
          <w:rFonts w:ascii="Times New Roman" w:eastAsia="Arial Unicode MS" w:hAnsi="Times New Roman" w:cs="Times New Roman"/>
          <w:color w:val="000000"/>
          <w:sz w:val="24"/>
          <w:szCs w:val="24"/>
          <w:u w:color="000000"/>
          <w:bdr w:val="nil"/>
          <w:lang w:eastAsia="en-GB"/>
        </w:rPr>
        <w:t>Kjeller</w:t>
      </w:r>
      <w:proofErr w:type="spellEnd"/>
      <w:r w:rsidRPr="0035622F">
        <w:rPr>
          <w:rFonts w:ascii="Times New Roman" w:eastAsia="Arial Unicode MS" w:hAnsi="Times New Roman" w:cs="Times New Roman"/>
          <w:color w:val="000000"/>
          <w:sz w:val="24"/>
          <w:szCs w:val="24"/>
          <w:u w:color="000000"/>
          <w:bdr w:val="nil"/>
          <w:lang w:eastAsia="en-GB"/>
        </w:rPr>
        <w:t xml:space="preserve">, </w:t>
      </w:r>
      <w:proofErr w:type="spellStart"/>
      <w:r w:rsidRPr="0035622F">
        <w:rPr>
          <w:rFonts w:ascii="Times New Roman" w:eastAsia="Arial Unicode MS" w:hAnsi="Times New Roman" w:cs="Times New Roman"/>
          <w:color w:val="000000"/>
          <w:sz w:val="24"/>
          <w:szCs w:val="24"/>
          <w:u w:color="000000"/>
          <w:bdr w:val="nil"/>
          <w:lang w:eastAsia="en-GB"/>
        </w:rPr>
        <w:t>Norway</w:t>
      </w:r>
      <w:proofErr w:type="spellEnd"/>
      <w:r>
        <w:rPr>
          <w:rFonts w:ascii="Times New Roman" w:eastAsia="Arial Unicode MS" w:hAnsi="Times New Roman" w:cs="Times New Roman"/>
          <w:color w:val="000000"/>
          <w:sz w:val="24"/>
          <w:szCs w:val="24"/>
          <w:u w:color="000000"/>
          <w:bdr w:val="nil"/>
          <w:lang w:eastAsia="en-GB"/>
        </w:rPr>
        <w:t>.</w:t>
      </w:r>
    </w:p>
    <w:p w14:paraId="3F6E0812" w14:textId="77777777" w:rsidR="00810897" w:rsidRPr="00442398" w:rsidRDefault="00810897" w:rsidP="002815AE">
      <w:pPr>
        <w:spacing w:after="0" w:line="360" w:lineRule="auto"/>
        <w:jc w:val="center"/>
        <w:rPr>
          <w:rFonts w:ascii="Times New Roman" w:eastAsia="Arial Unicode MS" w:hAnsi="Times New Roman" w:cs="Times New Roman"/>
          <w:color w:val="000000"/>
          <w:sz w:val="24"/>
          <w:szCs w:val="24"/>
          <w:u w:color="000000"/>
          <w:bdr w:val="nil"/>
          <w:lang w:val="fr-FR" w:eastAsia="en-GB"/>
        </w:rPr>
      </w:pPr>
      <w:r w:rsidRPr="00442398">
        <w:rPr>
          <w:rFonts w:ascii="Times New Roman" w:eastAsia="Arial Unicode MS" w:hAnsi="Times New Roman" w:cs="Times New Roman"/>
          <w:color w:val="000000"/>
          <w:sz w:val="24"/>
          <w:szCs w:val="24"/>
          <w:u w:color="000000"/>
          <w:bdr w:val="nil"/>
          <w:vertAlign w:val="superscript"/>
          <w:lang w:val="fr-FR" w:eastAsia="en-GB"/>
        </w:rPr>
        <w:t xml:space="preserve">3 </w:t>
      </w:r>
      <w:r w:rsidRPr="00442398">
        <w:rPr>
          <w:rFonts w:ascii="Times New Roman" w:eastAsia="Arial Unicode MS" w:hAnsi="Times New Roman" w:cs="Times New Roman"/>
          <w:color w:val="000000"/>
          <w:sz w:val="24"/>
          <w:szCs w:val="24"/>
          <w:u w:color="000000"/>
          <w:bdr w:val="nil"/>
          <w:lang w:val="fr-FR" w:eastAsia="en-GB"/>
        </w:rPr>
        <w:t>Laboratoire des Sciences du Climat et de l’Environnement (LSCE), CEA-CNRS-UVSQ, 91191, Gif-sur-Yvette, France.</w:t>
      </w:r>
    </w:p>
    <w:p w14:paraId="7B387AD2" w14:textId="77777777" w:rsidR="00810897" w:rsidRPr="00442398" w:rsidRDefault="00810897" w:rsidP="002815AE">
      <w:pPr>
        <w:spacing w:after="0" w:line="360" w:lineRule="auto"/>
        <w:jc w:val="center"/>
        <w:rPr>
          <w:rFonts w:ascii="Times New Roman" w:hAnsi="Times New Roman" w:cs="Times New Roman"/>
          <w:color w:val="222222"/>
          <w:sz w:val="24"/>
          <w:szCs w:val="24"/>
          <w:shd w:val="clear" w:color="auto" w:fill="FFFFFF"/>
          <w:lang w:val="fr-FR"/>
        </w:rPr>
      </w:pPr>
    </w:p>
    <w:p w14:paraId="00B7656B" w14:textId="40CCB3CA" w:rsidR="00753ED1" w:rsidRPr="00810897" w:rsidRDefault="00810897" w:rsidP="002815AE">
      <w:pPr>
        <w:spacing w:line="360" w:lineRule="auto"/>
        <w:jc w:val="center"/>
        <w:rPr>
          <w:rFonts w:ascii="Times New Roman" w:hAnsi="Times New Roman" w:cs="Times New Roman"/>
          <w:lang w:val="en-US"/>
        </w:rPr>
      </w:pPr>
      <w:r w:rsidRPr="0035622F">
        <w:rPr>
          <w:rFonts w:ascii="Times New Roman" w:hAnsi="Times New Roman" w:cs="Times New Roman"/>
          <w:b/>
          <w:bCs/>
          <w:sz w:val="24"/>
          <w:szCs w:val="24"/>
        </w:rPr>
        <w:t>*</w:t>
      </w:r>
      <w:r w:rsidRPr="0035622F">
        <w:rPr>
          <w:rFonts w:ascii="Times New Roman" w:hAnsi="Times New Roman" w:cs="Times New Roman"/>
          <w:sz w:val="24"/>
          <w:szCs w:val="24"/>
          <w:vertAlign w:val="superscript"/>
        </w:rPr>
        <w:t xml:space="preserve"> </w:t>
      </w:r>
      <w:proofErr w:type="spellStart"/>
      <w:r w:rsidRPr="0035622F">
        <w:rPr>
          <w:rFonts w:ascii="Times New Roman" w:hAnsi="Times New Roman" w:cs="Times New Roman"/>
          <w:sz w:val="24"/>
          <w:szCs w:val="24"/>
        </w:rPr>
        <w:t>Corresponding</w:t>
      </w:r>
      <w:proofErr w:type="spellEnd"/>
      <w:r w:rsidRPr="0035622F">
        <w:rPr>
          <w:rFonts w:ascii="Times New Roman" w:hAnsi="Times New Roman" w:cs="Times New Roman"/>
          <w:sz w:val="24"/>
          <w:szCs w:val="24"/>
        </w:rPr>
        <w:t xml:space="preserve"> </w:t>
      </w:r>
      <w:proofErr w:type="spellStart"/>
      <w:r w:rsidRPr="0035622F">
        <w:rPr>
          <w:rFonts w:ascii="Times New Roman" w:hAnsi="Times New Roman" w:cs="Times New Roman"/>
          <w:sz w:val="24"/>
          <w:szCs w:val="24"/>
        </w:rPr>
        <w:t>authors</w:t>
      </w:r>
      <w:proofErr w:type="spellEnd"/>
      <w:r w:rsidRPr="0035622F">
        <w:rPr>
          <w:rFonts w:ascii="Times New Roman" w:hAnsi="Times New Roman" w:cs="Times New Roman"/>
          <w:sz w:val="24"/>
          <w:szCs w:val="24"/>
        </w:rPr>
        <w:t>: N. Evangeliou (</w:t>
      </w:r>
      <w:hyperlink r:id="rId6" w:history="1">
        <w:r w:rsidRPr="0035622F">
          <w:rPr>
            <w:rStyle w:val="Hyperlink"/>
            <w:rFonts w:ascii="Times New Roman" w:hAnsi="Times New Roman" w:cs="Times New Roman"/>
            <w:sz w:val="24"/>
            <w:szCs w:val="24"/>
          </w:rPr>
          <w:t>Nikolaos.Evangeliou@nilu.no</w:t>
        </w:r>
      </w:hyperlink>
      <w:r w:rsidRPr="0035622F">
        <w:rPr>
          <w:rFonts w:ascii="Times New Roman" w:hAnsi="Times New Roman" w:cs="Times New Roman"/>
          <w:sz w:val="24"/>
          <w:szCs w:val="24"/>
        </w:rPr>
        <w:t>)</w:t>
      </w:r>
    </w:p>
    <w:p w14:paraId="5C67200A" w14:textId="70B4DFD2" w:rsidR="00906CB6" w:rsidRPr="000174CF" w:rsidRDefault="00906CB6">
      <w:pPr>
        <w:rPr>
          <w:rFonts w:ascii="Times New Roman" w:hAnsi="Times New Roman" w:cs="Times New Roman"/>
          <w:sz w:val="28"/>
          <w:szCs w:val="28"/>
          <w:lang w:val="en-US"/>
        </w:rPr>
      </w:pPr>
      <w:r w:rsidRPr="000174CF">
        <w:rPr>
          <w:rFonts w:ascii="Times New Roman" w:hAnsi="Times New Roman" w:cs="Times New Roman"/>
          <w:sz w:val="28"/>
          <w:szCs w:val="28"/>
          <w:lang w:val="en-US"/>
        </w:rPr>
        <w:br w:type="page"/>
      </w:r>
    </w:p>
    <w:p w14:paraId="58B57456" w14:textId="42D5D59C" w:rsidR="00CA24F1" w:rsidRPr="000174CF" w:rsidRDefault="00E32156">
      <w:pPr>
        <w:rPr>
          <w:rFonts w:ascii="Times New Roman" w:hAnsi="Times New Roman" w:cs="Times New Roman"/>
          <w:b/>
          <w:bCs/>
          <w:sz w:val="28"/>
          <w:szCs w:val="28"/>
          <w:lang w:val="en-US"/>
        </w:rPr>
      </w:pPr>
      <w:r w:rsidRPr="000174CF">
        <w:rPr>
          <w:rFonts w:ascii="Times New Roman" w:hAnsi="Times New Roman" w:cs="Times New Roman"/>
          <w:b/>
          <w:bCs/>
          <w:sz w:val="28"/>
          <w:szCs w:val="28"/>
          <w:lang w:val="en-US"/>
        </w:rPr>
        <w:lastRenderedPageBreak/>
        <w:t xml:space="preserve">Supplementary </w:t>
      </w:r>
      <w:r w:rsidR="000174CF" w:rsidRPr="000174CF">
        <w:rPr>
          <w:rFonts w:ascii="Times New Roman" w:hAnsi="Times New Roman" w:cs="Times New Roman"/>
          <w:b/>
          <w:bCs/>
          <w:sz w:val="28"/>
          <w:szCs w:val="28"/>
          <w:lang w:val="en-US"/>
        </w:rPr>
        <w:t>Figures</w:t>
      </w:r>
      <w:r w:rsidR="00906CB6" w:rsidRPr="000174CF">
        <w:rPr>
          <w:rFonts w:ascii="Times New Roman" w:hAnsi="Times New Roman" w:cs="Times New Roman"/>
          <w:b/>
          <w:bCs/>
          <w:sz w:val="28"/>
          <w:szCs w:val="28"/>
          <w:lang w:val="en-US"/>
        </w:rPr>
        <w:t xml:space="preserve"> </w:t>
      </w:r>
    </w:p>
    <w:p w14:paraId="34090744" w14:textId="39AD4369" w:rsidR="006D160E" w:rsidRPr="006D160E" w:rsidRDefault="006D160E" w:rsidP="006D160E">
      <w:pPr>
        <w:spacing w:after="0" w:line="240" w:lineRule="auto"/>
        <w:rPr>
          <w:rFonts w:ascii="Times New Roman" w:hAnsi="Times New Roman" w:cs="Times New Roman"/>
          <w:b/>
          <w:bCs/>
          <w:sz w:val="24"/>
        </w:rPr>
      </w:pPr>
      <w:bookmarkStart w:id="0" w:name="_Ref111459977"/>
      <w:r>
        <w:rPr>
          <w:rFonts w:ascii="Times New Roman" w:hAnsi="Times New Roman" w:cs="Times New Roman"/>
          <w:b/>
          <w:bCs/>
          <w:noProof/>
          <w:sz w:val="24"/>
        </w:rPr>
        <w:drawing>
          <wp:inline distT="0" distB="0" distL="0" distR="0" wp14:anchorId="46FFD348" wp14:editId="6B9D9CDE">
            <wp:extent cx="5580380" cy="1924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0380" cy="1924050"/>
                    </a:xfrm>
                    <a:prstGeom prst="rect">
                      <a:avLst/>
                    </a:prstGeom>
                  </pic:spPr>
                </pic:pic>
              </a:graphicData>
            </a:graphic>
          </wp:inline>
        </w:drawing>
      </w:r>
    </w:p>
    <w:p w14:paraId="7F2EDD6C" w14:textId="42B4FADF" w:rsidR="006D160E" w:rsidRDefault="006D160E" w:rsidP="006D160E">
      <w:pPr>
        <w:pStyle w:val="Caption"/>
        <w:rPr>
          <w:rFonts w:ascii="Times New Roman" w:hAnsi="Times New Roman" w:cs="Times New Roman"/>
          <w:i w:val="0"/>
          <w:iCs w:val="0"/>
          <w:color w:val="auto"/>
          <w:sz w:val="24"/>
          <w:szCs w:val="24"/>
        </w:rPr>
      </w:pPr>
      <w:r w:rsidRPr="00A57BAE">
        <w:rPr>
          <w:rFonts w:ascii="Times New Roman" w:hAnsi="Times New Roman" w:cs="Times New Roman"/>
          <w:b/>
          <w:bCs/>
          <w:i w:val="0"/>
          <w:iCs w:val="0"/>
          <w:color w:val="auto"/>
          <w:sz w:val="24"/>
          <w:szCs w:val="24"/>
        </w:rPr>
        <w:t xml:space="preserve">Supplementary Figure S </w:t>
      </w:r>
      <w:r w:rsidRPr="00A57BAE">
        <w:rPr>
          <w:rFonts w:ascii="Times New Roman" w:hAnsi="Times New Roman" w:cs="Times New Roman"/>
          <w:b/>
          <w:bCs/>
          <w:i w:val="0"/>
          <w:iCs w:val="0"/>
          <w:color w:val="auto"/>
          <w:sz w:val="24"/>
          <w:szCs w:val="24"/>
        </w:rPr>
        <w:fldChar w:fldCharType="begin"/>
      </w:r>
      <w:r w:rsidRPr="00A57BAE">
        <w:rPr>
          <w:rFonts w:ascii="Times New Roman" w:hAnsi="Times New Roman" w:cs="Times New Roman"/>
          <w:b/>
          <w:bCs/>
          <w:i w:val="0"/>
          <w:iCs w:val="0"/>
          <w:color w:val="auto"/>
          <w:sz w:val="24"/>
          <w:szCs w:val="24"/>
        </w:rPr>
        <w:instrText xml:space="preserve"> SEQ Supplementary_Figure_S \* ARABIC </w:instrText>
      </w:r>
      <w:r w:rsidRPr="00A57BAE">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A57BAE">
        <w:rPr>
          <w:rFonts w:ascii="Times New Roman" w:hAnsi="Times New Roman" w:cs="Times New Roman"/>
          <w:b/>
          <w:bCs/>
          <w:i w:val="0"/>
          <w:iCs w:val="0"/>
          <w:color w:val="auto"/>
          <w:sz w:val="24"/>
          <w:szCs w:val="24"/>
        </w:rPr>
        <w:fldChar w:fldCharType="end"/>
      </w:r>
      <w:bookmarkEnd w:id="0"/>
      <w:r>
        <w:rPr>
          <w:rFonts w:ascii="Times New Roman" w:hAnsi="Times New Roman" w:cs="Times New Roman"/>
          <w:i w:val="0"/>
          <w:iCs w:val="0"/>
          <w:color w:val="auto"/>
          <w:sz w:val="24"/>
          <w:szCs w:val="24"/>
        </w:rPr>
        <w:t>. (</w:t>
      </w:r>
      <w:r w:rsidRPr="00A57BAE">
        <w:rPr>
          <w:rFonts w:ascii="Times New Roman" w:hAnsi="Times New Roman" w:cs="Times New Roman"/>
          <w:i w:val="0"/>
          <w:iCs w:val="0"/>
          <w:color w:val="auto"/>
          <w:sz w:val="24"/>
          <w:szCs w:val="24"/>
        </w:rPr>
        <w:t>a</w:t>
      </w:r>
      <w:r>
        <w:rPr>
          <w:rFonts w:ascii="Times New Roman" w:hAnsi="Times New Roman" w:cs="Times New Roman"/>
          <w:i w:val="0"/>
          <w:iCs w:val="0"/>
          <w:color w:val="auto"/>
          <w:sz w:val="24"/>
          <w:szCs w:val="24"/>
        </w:rPr>
        <w:t>)</w:t>
      </w:r>
      <w:r w:rsidRPr="00A57BAE">
        <w:rPr>
          <w:rFonts w:ascii="Times New Roman" w:hAnsi="Times New Roman" w:cs="Times New Roman"/>
          <w:i w:val="0"/>
          <w:iCs w:val="0"/>
          <w:color w:val="auto"/>
          <w:sz w:val="24"/>
          <w:szCs w:val="24"/>
        </w:rPr>
        <w:t xml:space="preserve"> Frequency distribution of gain (negative values) and loss of atmospheric ammonia in the inversion domain (10°W–50°E, 25°N–75°N) during the study period (January – June 2020). Only the altitudes where satellite ammonia has an influence in the inversion were considered (~1018-619 </w:t>
      </w:r>
      <w:proofErr w:type="spellStart"/>
      <w:r w:rsidRPr="00A57BAE">
        <w:rPr>
          <w:rFonts w:ascii="Times New Roman" w:hAnsi="Times New Roman" w:cs="Times New Roman"/>
          <w:i w:val="0"/>
          <w:iCs w:val="0"/>
          <w:color w:val="auto"/>
          <w:sz w:val="24"/>
          <w:szCs w:val="24"/>
        </w:rPr>
        <w:t>hPa</w:t>
      </w:r>
      <w:proofErr w:type="spellEnd"/>
      <w:r w:rsidRPr="00A57BAE">
        <w:rPr>
          <w:rFonts w:ascii="Times New Roman" w:hAnsi="Times New Roman" w:cs="Times New Roman"/>
          <w:i w:val="0"/>
          <w:iCs w:val="0"/>
          <w:color w:val="auto"/>
          <w:sz w:val="24"/>
          <w:szCs w:val="24"/>
        </w:rPr>
        <w:t xml:space="preserve">). The distribution shows that shift of the equilibrium reaction with nitric acid towards production of gaseous ammonia is a rather rare event and could be omitted. </w:t>
      </w:r>
      <w:r>
        <w:rPr>
          <w:rFonts w:ascii="Times New Roman" w:hAnsi="Times New Roman" w:cs="Times New Roman"/>
          <w:i w:val="0"/>
          <w:iCs w:val="0"/>
          <w:color w:val="auto"/>
          <w:sz w:val="24"/>
          <w:szCs w:val="24"/>
        </w:rPr>
        <w:t>(</w:t>
      </w:r>
      <w:r w:rsidRPr="00A57BAE">
        <w:rPr>
          <w:rFonts w:ascii="Times New Roman" w:hAnsi="Times New Roman" w:cs="Times New Roman"/>
          <w:i w:val="0"/>
          <w:iCs w:val="0"/>
          <w:color w:val="auto"/>
          <w:sz w:val="24"/>
          <w:szCs w:val="24"/>
        </w:rPr>
        <w:t>b</w:t>
      </w:r>
      <w:r>
        <w:rPr>
          <w:rFonts w:ascii="Times New Roman" w:hAnsi="Times New Roman" w:cs="Times New Roman"/>
          <w:i w:val="0"/>
          <w:iCs w:val="0"/>
          <w:color w:val="auto"/>
          <w:sz w:val="24"/>
          <w:szCs w:val="24"/>
        </w:rPr>
        <w:t>)</w:t>
      </w:r>
      <w:r w:rsidRPr="00A57BAE">
        <w:rPr>
          <w:rFonts w:ascii="Times New Roman" w:hAnsi="Times New Roman" w:cs="Times New Roman"/>
          <w:i w:val="0"/>
          <w:iCs w:val="0"/>
          <w:color w:val="auto"/>
          <w:sz w:val="24"/>
          <w:szCs w:val="24"/>
        </w:rPr>
        <w:t xml:space="preserve"> Spatial projection of the occurrences of loss and gain of atmospheric ammonia in the inversion domain during the study period (January – June 2020). Most of the pixels where gain of atmospheric ammonia occurs </w:t>
      </w:r>
      <w:proofErr w:type="gramStart"/>
      <w:r w:rsidRPr="00A57BAE">
        <w:rPr>
          <w:rFonts w:ascii="Times New Roman" w:hAnsi="Times New Roman" w:cs="Times New Roman"/>
          <w:i w:val="0"/>
          <w:iCs w:val="0"/>
          <w:color w:val="auto"/>
          <w:sz w:val="24"/>
          <w:szCs w:val="24"/>
        </w:rPr>
        <w:t>are located in</w:t>
      </w:r>
      <w:proofErr w:type="gramEnd"/>
      <w:r w:rsidRPr="00A57BAE">
        <w:rPr>
          <w:rFonts w:ascii="Times New Roman" w:hAnsi="Times New Roman" w:cs="Times New Roman"/>
          <w:i w:val="0"/>
          <w:iCs w:val="0"/>
          <w:color w:val="auto"/>
          <w:sz w:val="24"/>
          <w:szCs w:val="24"/>
        </w:rPr>
        <w:t xml:space="preserve"> marine regions, for which ammonia emissions were not constrained. In our simulations, the pixels were gain of ammonia occurs were set to zero, as if neither gain nor loss of ammonia occurred.</w:t>
      </w:r>
    </w:p>
    <w:p w14:paraId="43F168ED" w14:textId="1BD3CB1E" w:rsidR="006D160E" w:rsidRDefault="006D160E">
      <w:pPr>
        <w:rPr>
          <w:rFonts w:ascii="Times New Roman" w:hAnsi="Times New Roman" w:cs="Times New Roman"/>
          <w:b/>
          <w:bCs/>
          <w:sz w:val="24"/>
        </w:rPr>
      </w:pPr>
      <w:r>
        <w:rPr>
          <w:rFonts w:ascii="Times New Roman" w:hAnsi="Times New Roman" w:cs="Times New Roman"/>
          <w:b/>
          <w:bCs/>
          <w:sz w:val="24"/>
        </w:rPr>
        <w:br w:type="page"/>
      </w:r>
    </w:p>
    <w:p w14:paraId="2723EC81" w14:textId="11000E5C" w:rsidR="006D160E" w:rsidRPr="00A57BAE" w:rsidRDefault="006D160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4A33954C" wp14:editId="2864B248">
            <wp:extent cx="5580380" cy="36671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0380" cy="3667125"/>
                    </a:xfrm>
                    <a:prstGeom prst="rect">
                      <a:avLst/>
                    </a:prstGeom>
                  </pic:spPr>
                </pic:pic>
              </a:graphicData>
            </a:graphic>
          </wp:inline>
        </w:drawing>
      </w:r>
    </w:p>
    <w:p w14:paraId="1F532D22" w14:textId="28F3212B" w:rsidR="006D160E" w:rsidRDefault="006D160E" w:rsidP="006D160E">
      <w:pPr>
        <w:pStyle w:val="Caption"/>
        <w:rPr>
          <w:rFonts w:ascii="Times New Roman" w:hAnsi="Times New Roman" w:cs="Times New Roman"/>
          <w:i w:val="0"/>
          <w:iCs w:val="0"/>
          <w:color w:val="auto"/>
          <w:sz w:val="24"/>
          <w:szCs w:val="24"/>
        </w:rPr>
      </w:pPr>
      <w:bookmarkStart w:id="1" w:name="_Ref111456721"/>
      <w:r w:rsidRPr="00A57BAE">
        <w:rPr>
          <w:rFonts w:ascii="Times New Roman" w:hAnsi="Times New Roman" w:cs="Times New Roman"/>
          <w:b/>
          <w:bCs/>
          <w:i w:val="0"/>
          <w:iCs w:val="0"/>
          <w:color w:val="auto"/>
          <w:sz w:val="24"/>
          <w:szCs w:val="24"/>
        </w:rPr>
        <w:t xml:space="preserve">Supplementary Figure S </w:t>
      </w:r>
      <w:r w:rsidRPr="00A57BAE">
        <w:rPr>
          <w:rFonts w:ascii="Times New Roman" w:hAnsi="Times New Roman" w:cs="Times New Roman"/>
          <w:b/>
          <w:bCs/>
          <w:i w:val="0"/>
          <w:iCs w:val="0"/>
          <w:color w:val="auto"/>
          <w:sz w:val="24"/>
          <w:szCs w:val="24"/>
        </w:rPr>
        <w:fldChar w:fldCharType="begin"/>
      </w:r>
      <w:r w:rsidRPr="00A57BAE">
        <w:rPr>
          <w:rFonts w:ascii="Times New Roman" w:hAnsi="Times New Roman" w:cs="Times New Roman"/>
          <w:b/>
          <w:bCs/>
          <w:i w:val="0"/>
          <w:iCs w:val="0"/>
          <w:color w:val="auto"/>
          <w:sz w:val="24"/>
          <w:szCs w:val="24"/>
        </w:rPr>
        <w:instrText xml:space="preserve"> SEQ Supplementary_Figure_S \* ARABIC </w:instrText>
      </w:r>
      <w:r w:rsidRPr="00A57BAE">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sidRPr="00A57BAE">
        <w:rPr>
          <w:rFonts w:ascii="Times New Roman" w:hAnsi="Times New Roman" w:cs="Times New Roman"/>
          <w:b/>
          <w:bCs/>
          <w:i w:val="0"/>
          <w:iCs w:val="0"/>
          <w:color w:val="auto"/>
          <w:sz w:val="24"/>
          <w:szCs w:val="24"/>
        </w:rPr>
        <w:fldChar w:fldCharType="end"/>
      </w:r>
      <w:bookmarkEnd w:id="1"/>
      <w:r w:rsidRPr="00A57BAE">
        <w:rPr>
          <w:rFonts w:ascii="Times New Roman" w:hAnsi="Times New Roman" w:cs="Times New Roman"/>
          <w:i w:val="0"/>
          <w:iCs w:val="0"/>
          <w:color w:val="auto"/>
          <w:sz w:val="24"/>
          <w:szCs w:val="24"/>
        </w:rPr>
        <w:t xml:space="preserve">. Locations and timeseries concentrations of nitrogen at stations from </w:t>
      </w:r>
      <w:proofErr w:type="spellStart"/>
      <w:r w:rsidRPr="00A57BAE">
        <w:rPr>
          <w:rFonts w:ascii="Times New Roman" w:hAnsi="Times New Roman" w:cs="Times New Roman"/>
          <w:i w:val="0"/>
          <w:iCs w:val="0"/>
          <w:color w:val="auto"/>
          <w:sz w:val="24"/>
          <w:szCs w:val="24"/>
        </w:rPr>
        <w:t>AMoN</w:t>
      </w:r>
      <w:proofErr w:type="spellEnd"/>
      <w:r w:rsidRPr="00A57BAE">
        <w:rPr>
          <w:rFonts w:ascii="Times New Roman" w:hAnsi="Times New Roman" w:cs="Times New Roman"/>
          <w:i w:val="0"/>
          <w:iCs w:val="0"/>
          <w:color w:val="auto"/>
          <w:sz w:val="24"/>
          <w:szCs w:val="24"/>
        </w:rPr>
        <w:t xml:space="preserve"> (North America, EANET (Southeastern Asia) and EMEP (Europe) networks used for validation. Forward and backward modelled concentrations of FLEXPART averaged for the temporal resolution of the observations are shown together with the respective concentrations from the Eulerian </w:t>
      </w:r>
      <w:proofErr w:type="spellStart"/>
      <w:r w:rsidRPr="00A57BAE">
        <w:rPr>
          <w:rFonts w:ascii="Times New Roman" w:hAnsi="Times New Roman" w:cs="Times New Roman"/>
          <w:i w:val="0"/>
          <w:iCs w:val="0"/>
          <w:color w:val="auto"/>
          <w:sz w:val="24"/>
          <w:szCs w:val="24"/>
        </w:rPr>
        <w:t>LMDz</w:t>
      </w:r>
      <w:proofErr w:type="spellEnd"/>
      <w:r w:rsidRPr="00A57BAE">
        <w:rPr>
          <w:rFonts w:ascii="Times New Roman" w:hAnsi="Times New Roman" w:cs="Times New Roman"/>
          <w:i w:val="0"/>
          <w:iCs w:val="0"/>
          <w:color w:val="auto"/>
          <w:sz w:val="24"/>
          <w:szCs w:val="24"/>
        </w:rPr>
        <w:t>-OR-INCA using emissions from EGG</w:t>
      </w:r>
      <w:r w:rsidRPr="00CF190A">
        <w:rPr>
          <w:rFonts w:ascii="Times New Roman" w:hAnsi="Times New Roman" w:cs="Times New Roman"/>
          <w:i w:val="0"/>
          <w:iCs w:val="0"/>
          <w:color w:val="000000"/>
          <w:sz w:val="24"/>
          <w:szCs w:val="24"/>
          <w:vertAlign w:val="superscript"/>
        </w:rPr>
        <w:fldChar w:fldCharType="begin" w:fldLock="1"/>
      </w:r>
      <w:r>
        <w:rPr>
          <w:rFonts w:ascii="Times New Roman" w:hAnsi="Times New Roman" w:cs="Times New Roman"/>
          <w:color w:val="000000"/>
          <w:sz w:val="24"/>
          <w:szCs w:val="24"/>
          <w:vertAlign w:val="superscript"/>
        </w:rPr>
        <w:instrText>ADDIN CSL_CITATION {"citationItems":[{"id":"ITEM-1","itemData":{"DOI":"10.1029/97GB02266","ISBN":"1944-9224","ISSN":"19449224","abstract":"A global emissions inventory for ammonia (NH3) has been compiled for the main known sources on a 1° × 1° grid, suitable for input to global atmospheric models. The estimated global emission for 1990 is about 54 Tg N yr−1. The major sources identified include excreta from domestic animals (21.6 Tg N yr−1) and wild animals (0.1 Tg N yr−1), use of synthetic N fertilizers (9.0 Tg N yr−1), oceans (8.2 Tg N yr−1), biomass burning (5.9 Tg N yr−1), crops (3.6 Tg N yr−1), human population and pets (2.6 Tg N yr−1), soils under natural vegetation (2.4 Tg N yr−1), industrial processes (0.2 Tg N yr−1 ), and fossil fuels (0.1 Tg N yr−1). About half of the global emission comes from Asia, and about 70% is related to food production. The regions with highest emission rates are located in Europe, the Indian subcontinent, and China, reflecting the patterns of animal densities and type and intensity of synthetic fertilizer use. The overall uncertainty in the global emission estimate is 25%, while the uncertainty in regional emissions is much greater. As the global human population will show considerable growth in the coming decades, food production and associated NH3 emissions are likely to increase as well.","author":[{"dropping-particle":"","family":"Bouwman","given":"A. F.","non-dropping-particle":"","parse-names":false,"suffix":""},{"dropping-particle":"","family":"Lee","given":"D. S.","non-dropping-particle":"","parse-names":false,"suffix":""},{"dropping-particle":"","family":"Asman","given":"W. A H","non-dropping-particle":"","parse-names":false,"suffix":""},{"dropping-particle":"","family":"Dentener","given":"F. J.","non-dropping-particle":"","parse-names":false,"suffix":""},{"dropping-particle":"","family":"Hoek","given":"K. W.","non-dropping-particle":"Van Der","parse-names":false,"suffix":""},{"dropping-particle":"","family":"Olivier","given":"J. G J","non-dropping-particle":"","parse-names":false,"suffix":""}],"container-title":"Global Biogeochemical Cycles","id":"ITEM-1","issue":"4","issued":{"date-parts":[["1997"]]},"page":"561-587","title":"A global high-resolution emission inventory for ammonia","type":"article-journal","volume":"11"},"uris":["http://www.mendeley.com/documents/?uuid=55451435-9c67-4c5b-a832-46c72d7fe66f"]},{"id":"ITEM-2","itemData":{"DOI":"10.1002/jgrg.20042, 2013","abstract":"We describe the fourth generation of the Global Fire Emissions Database (GFED4) burned area data set, which provides global monthly burned area at 0.25° spatial resolution from mid-1995 through the present and daily burned area for the time series extending back to August 2000. We produced the full data set by combining 500 m MODIS burned area maps with active fire data from the Tropical Rainfall Measuring Mission (TRMM) Visible and Infrared Scanner (VIRS) and the Along-Track Scanning Radiometer (ATSR) family of sensors. We found that the global annual area burned for the years 1997 through 2011 varied from 301 to 377 Mha, with an average of 348 Mha. We assessed the interannual variability and trends in burned area on the basis of a region-specific definition of fire years. With respect to trends, we found a gradual decrease of 1.7 Mha yr–1 (–1.4% yr–1) in Northern Hemisphere Africa since 2000, a gradual increase of 2.3 Mha yr–1 (+1.8% yr–1) in Southern Hemisphere Africa also since 2000, a slight increase of 0.2 Mha yr–1 (+2.5% yr–1) in Southeast Asia since 1997, and a rapid decrease of approximately 5.5Mha yr–1 (–10.7% yr–1) from 2001 through 2011 in Australia, followed by a major upsurge in 2011 that exceeded the annual area burned in at least the previous 14 years. The net trend in global burned area from 2000 to 2012 was a modest decrease of 4.3 Mha yr–1 (–1.2% yr–1). We also performed a spectral analysis of the daily burned area time series and found no vestiges of the 16 day MODIS repeat cycle.","author":[{"dropping-particle":"","family":"Giglio","given":"Louis","non-dropping-particle":"","parse-names":false,"suffix":""},{"dropping-particle":"","family":"Randerson","given":"James T.","non-dropping-particle":"","parse-names":false,"suffix":""},{"dropping-particle":"","family":"Werf","given":"Guido R.","non-dropping-particle":"van der","parse-names":false,"suffix":""}],"container-title":"Journal of Geophysical Research : Biogeosciences","id":"ITEM-2","issued":{"date-parts":[["2013"]]},"page":"317–328","title":"Analysis of daily, monthly, and annual burned area using the fourth-generation global fire emissions database (GFED4)","type":"article-journal","volume":"118"},"uris":["http://www.mendeley.com/documents/?uuid=94ce7df5-f308-4500-91e5-136ec4518f83"]},{"id":"ITEM-3","itemData":{"DOI":"10.5194/acp-17- 50 8681-2017","abstract":"This paper presents the first comprehensive assessment of historical (1990&amp;ndash;2010) global anthropogenic particulate matter (PM) emissions including consistent and harmonized calculation of mass-based size distribution (PM1, PM2.5, PM10) as well as primary carbonaceous aerosols including black carbon (BC) and organic carbon (OC). The estimates were developed with the integrated assessment model GAINS, where source- and region-specific technology characteristics are explicitly included. This assessment includes a number of previously unaccounted or often misallocated emission sources, i.e., kerosene lamps, gas flaring, diesel generators, trash burning; some of them were reported in the past for selected regions or in the context of a particular pollutant or sector but not included as part of a total estimate. Spatially, emissions were calculated for 170 source regions (as well as international shipping), presented for 25 global regions, and allocated to 0.5&amp;deg;&amp;thinsp;x&amp;thinsp;0.5&amp;deg; longitude-latitude grids. No independent estimates of emissions from forest fires and savannah burning are provided and neither windblown dust nor unpaved roads emissions are included. We estimate that global emissions of PM have not changed significantly between 1990 and 2010, showing a strong decoupling from the global increase in energy consumption and consequently, CO2 emissions but there are significantly different regional trends, with a particularly strong increase in East Asia and Africa and a strong decline in Europe, North America and Pacific. This in turn resulted in important changes in the spatial pattern of PM burden, e.g., European, North American, and Pacific contributions to global emissions dropped from nearly 30&amp;thinsp;% in 1990 to well below 15&amp;thinsp;% in 2010, while Asia's contribution grew from just over 50&amp;thinsp;% to nearly 2/3 of the global total in 2010. For all considered PM species, Asian sources represented over 60&amp;thinsp;% of the global anthropogenic total, and residential combustion was the most important sector contributing about 60&amp;thinsp;% for BC and OC, 45&amp;thinsp;% for PM2.5 and less than 40&amp;thinsp;% for PM10 where large combustion sources and industrial processes are equally important. Global anthropogenic emissions of BC were estimated at about 6.6 and 7.2&amp;thinsp;Tg in 2000 and 2010, respectively, and represent about 15&amp;thinsp;% of PM2.5 but for some sources reach nearly 50&amp;thinsp;%, i.e., transport sector. Our global BC numbers ar…","author":[{"dropping-particle":"","family":"Klimont","given":"Zbigniew","non-dropping-particle":"","parse-names":false,"suffix":""},{"dropping-particle":"","family":"Kupiainen","given":"Kaarle","non-dropping-particle":"","parse-names":false,"suffix":""},{"dropping-particle":"","family":"Heyes","given":"Chris","non-dropping-particle":"","parse-names":false,"suffix":""},{"dropping-particle":"","family":"Purohit","given":"Pallav","non-dropping-particle":"","parse-names":false,"suffix":""},{"dropping-particle":"","family":"Cofala","given":"Janusz","non-dropping-particle":"","parse-names":false,"suffix":""},{"dropping-particle":"","family":"Rafaj","given":"Peter","non-dropping-particle":"","parse-names":false,"suffix":""},{"dropping-particle":"","family":"Borken-Kleefeld","given":"Jens","non-dropping-particle":"","parse-names":false,"suffix":""},{"dropping-particle":"","family":"Schöpp","given":"Wolfgang","non-dropping-particle":"","parse-names":false,"suffix":""}],"container-title":"Atmospheric Chemistry and Physics","id":"ITEM-3","issued":{"date-parts":[["2017"]]},"page":"8681-8723","title":"Global anthropogenic emissions of particulate matter including black carbon","type":"article-journal","volume":"17"},"uris":["http://www.mendeley.com/documents/?uuid=7164f569-d62e-4f5d-ab5b-c3fdd32dfb27"]}],"mendeley":{"formattedCitation":"&lt;sup&gt;1–3&lt;/sup&gt;","plainTextFormattedCitation":"1–3","previouslyFormattedCitation":"&lt;sup&gt;41,59,60&lt;/sup&gt;"},"properties":{"noteIndex":0},"schema":"https://github.com/citation-style-language/schema/raw/master/csl-citation.json"}</w:instrText>
      </w:r>
      <w:r w:rsidRPr="00CF190A">
        <w:rPr>
          <w:rFonts w:ascii="Times New Roman" w:hAnsi="Times New Roman" w:cs="Times New Roman"/>
          <w:i w:val="0"/>
          <w:iCs w:val="0"/>
          <w:color w:val="000000"/>
          <w:sz w:val="24"/>
          <w:szCs w:val="24"/>
          <w:vertAlign w:val="superscript"/>
        </w:rPr>
        <w:fldChar w:fldCharType="separate"/>
      </w:r>
      <w:r w:rsidRPr="006D160E">
        <w:rPr>
          <w:rFonts w:ascii="Times New Roman" w:hAnsi="Times New Roman" w:cs="Times New Roman"/>
          <w:i w:val="0"/>
          <w:noProof/>
          <w:color w:val="000000"/>
          <w:sz w:val="24"/>
          <w:szCs w:val="24"/>
          <w:vertAlign w:val="superscript"/>
        </w:rPr>
        <w:t>1–3</w:t>
      </w:r>
      <w:r w:rsidRPr="00CF190A">
        <w:rPr>
          <w:rFonts w:ascii="Times New Roman" w:hAnsi="Times New Roman" w:cs="Times New Roman"/>
          <w:i w:val="0"/>
          <w:iCs w:val="0"/>
          <w:color w:val="000000"/>
          <w:sz w:val="24"/>
          <w:szCs w:val="24"/>
          <w:vertAlign w:val="superscript"/>
        </w:rPr>
        <w:fldChar w:fldCharType="end"/>
      </w:r>
      <w:r w:rsidRPr="00A57BAE">
        <w:rPr>
          <w:rFonts w:ascii="Times New Roman" w:hAnsi="Times New Roman" w:cs="Times New Roman"/>
          <w:i w:val="0"/>
          <w:iCs w:val="0"/>
          <w:color w:val="auto"/>
          <w:sz w:val="24"/>
          <w:szCs w:val="24"/>
        </w:rPr>
        <w:t>. A very good agreement for all modelled concentrations is apparent that indicates the robust approach of our assumption that atmospheric ammonia is most often chemically depleted.</w:t>
      </w:r>
    </w:p>
    <w:p w14:paraId="54F72D71" w14:textId="3A1838F1" w:rsidR="006D160E" w:rsidRDefault="006D160E">
      <w:pPr>
        <w:rPr>
          <w:rFonts w:ascii="Times New Roman" w:hAnsi="Times New Roman" w:cs="Times New Roman"/>
          <w:b/>
          <w:bCs/>
          <w:sz w:val="24"/>
        </w:rPr>
      </w:pPr>
      <w:r>
        <w:rPr>
          <w:rFonts w:ascii="Times New Roman" w:hAnsi="Times New Roman" w:cs="Times New Roman"/>
          <w:b/>
          <w:bCs/>
          <w:sz w:val="24"/>
        </w:rPr>
        <w:br w:type="page"/>
      </w:r>
    </w:p>
    <w:p w14:paraId="4E4D45A6" w14:textId="4935FD5E" w:rsidR="006D160E" w:rsidRPr="00A57BAE" w:rsidRDefault="006D160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3745EABF" wp14:editId="53AFA2B3">
            <wp:extent cx="5580380" cy="4883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0380" cy="4883150"/>
                    </a:xfrm>
                    <a:prstGeom prst="rect">
                      <a:avLst/>
                    </a:prstGeom>
                  </pic:spPr>
                </pic:pic>
              </a:graphicData>
            </a:graphic>
          </wp:inline>
        </w:drawing>
      </w:r>
    </w:p>
    <w:p w14:paraId="29973BD1" w14:textId="05944EE9" w:rsidR="006D160E" w:rsidRPr="00A57BAE" w:rsidRDefault="006D160E" w:rsidP="006D160E">
      <w:pPr>
        <w:pStyle w:val="Caption"/>
        <w:rPr>
          <w:rFonts w:ascii="Times New Roman" w:hAnsi="Times New Roman" w:cs="Times New Roman"/>
          <w:i w:val="0"/>
          <w:iCs w:val="0"/>
          <w:color w:val="auto"/>
          <w:sz w:val="24"/>
          <w:szCs w:val="24"/>
        </w:rPr>
      </w:pPr>
      <w:bookmarkStart w:id="2" w:name="_Ref111460033"/>
      <w:r w:rsidRPr="00A57BAE">
        <w:rPr>
          <w:rFonts w:ascii="Times New Roman" w:hAnsi="Times New Roman" w:cs="Times New Roman"/>
          <w:b/>
          <w:bCs/>
          <w:i w:val="0"/>
          <w:iCs w:val="0"/>
          <w:color w:val="auto"/>
          <w:sz w:val="24"/>
          <w:szCs w:val="24"/>
        </w:rPr>
        <w:t xml:space="preserve">Supplementary Figure S </w:t>
      </w:r>
      <w:r w:rsidRPr="00A57BAE">
        <w:rPr>
          <w:rFonts w:ascii="Times New Roman" w:hAnsi="Times New Roman" w:cs="Times New Roman"/>
          <w:b/>
          <w:bCs/>
          <w:i w:val="0"/>
          <w:iCs w:val="0"/>
          <w:color w:val="auto"/>
          <w:sz w:val="24"/>
          <w:szCs w:val="24"/>
        </w:rPr>
        <w:fldChar w:fldCharType="begin"/>
      </w:r>
      <w:r w:rsidRPr="00A57BAE">
        <w:rPr>
          <w:rFonts w:ascii="Times New Roman" w:hAnsi="Times New Roman" w:cs="Times New Roman"/>
          <w:b/>
          <w:bCs/>
          <w:i w:val="0"/>
          <w:iCs w:val="0"/>
          <w:color w:val="auto"/>
          <w:sz w:val="24"/>
          <w:szCs w:val="24"/>
        </w:rPr>
        <w:instrText xml:space="preserve"> SEQ Supplementary_Figure_S \* ARABIC </w:instrText>
      </w:r>
      <w:r w:rsidRPr="00A57BAE">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sidRPr="00A57BAE">
        <w:rPr>
          <w:rFonts w:ascii="Times New Roman" w:hAnsi="Times New Roman" w:cs="Times New Roman"/>
          <w:b/>
          <w:bCs/>
          <w:i w:val="0"/>
          <w:iCs w:val="0"/>
          <w:color w:val="auto"/>
          <w:sz w:val="24"/>
          <w:szCs w:val="24"/>
        </w:rPr>
        <w:fldChar w:fldCharType="end"/>
      </w:r>
      <w:bookmarkEnd w:id="2"/>
      <w:r>
        <w:rPr>
          <w:rFonts w:ascii="Times New Roman" w:hAnsi="Times New Roman" w:cs="Times New Roman"/>
          <w:i w:val="0"/>
          <w:iCs w:val="0"/>
          <w:color w:val="auto"/>
          <w:sz w:val="24"/>
          <w:szCs w:val="24"/>
        </w:rPr>
        <w:t xml:space="preserve">. </w:t>
      </w:r>
      <w:r w:rsidRPr="00A57BAE">
        <w:rPr>
          <w:rFonts w:ascii="Times New Roman" w:hAnsi="Times New Roman" w:cs="Times New Roman"/>
          <w:i w:val="0"/>
          <w:iCs w:val="0"/>
          <w:color w:val="auto"/>
          <w:sz w:val="24"/>
          <w:szCs w:val="24"/>
        </w:rPr>
        <w:t>Taylor diagram of modelled concentrations of ammonia with FLEXPARTv10.4 in forward and backward mode using emissions from EGG</w:t>
      </w:r>
      <w:r w:rsidRPr="00A57BAE">
        <w:rPr>
          <w:rFonts w:ascii="Times New Roman" w:hAnsi="Times New Roman" w:cs="Times New Roman"/>
          <w:i w:val="0"/>
          <w:iCs w:val="0"/>
          <w:color w:val="auto"/>
          <w:sz w:val="24"/>
          <w:szCs w:val="24"/>
        </w:rPr>
        <w:fldChar w:fldCharType="begin" w:fldLock="1"/>
      </w:r>
      <w:r>
        <w:rPr>
          <w:rFonts w:ascii="Times New Roman" w:hAnsi="Times New Roman" w:cs="Times New Roman"/>
          <w:i w:val="0"/>
          <w:iCs w:val="0"/>
          <w:color w:val="auto"/>
          <w:sz w:val="24"/>
          <w:szCs w:val="24"/>
        </w:rPr>
        <w:instrText>ADDIN CSL_CITATION {"citationItems":[{"id":"ITEM-1","itemData":{"DOI":"10.1029/97GB02266","ISBN":"1944-9224","ISSN":"19449224","abstract":"A global emissions inventory for ammonia (NH3) has been compiled for the main known sources on a 1° × 1° grid, suitable for input to global atmospheric models. The estimated global emission for 1990 is about 54 Tg N yr−1. The major sources identified include excreta from domestic animals (21.6 Tg N yr−1) and wild animals (0.1 Tg N yr−1), use of synthetic N fertilizers (9.0 Tg N yr−1), oceans (8.2 Tg N yr−1), biomass burning (5.9 Tg N yr−1), crops (3.6 Tg N yr−1), human population and pets (2.6 Tg N yr−1), soils under natural vegetation (2.4 Tg N yr−1), industrial processes (0.2 Tg N yr−1 ), and fossil fuels (0.1 Tg N yr−1). About half of the global emission comes from Asia, and about 70% is related to food production. The regions with highest emission rates are located in Europe, the Indian subcontinent, and China, reflecting the patterns of animal densities and type and intensity of synthetic fertilizer use. The overall uncertainty in the global emission estimate is 25%, while the uncertainty in regional emissions is much greater. As the global human population will show considerable growth in the coming decades, food production and associated NH3 emissions are likely to increase as well.","author":[{"dropping-particle":"","family":"Bouwman","given":"A. F.","non-dropping-particle":"","parse-names":false,"suffix":""},{"dropping-particle":"","family":"Lee","given":"D. S.","non-dropping-particle":"","parse-names":false,"suffix":""},{"dropping-particle":"","family":"Asman","given":"W. A H","non-dropping-particle":"","parse-names":false,"suffix":""},{"dropping-particle":"","family":"Dentener","given":"F. J.","non-dropping-particle":"","parse-names":false,"suffix":""},{"dropping-particle":"","family":"Hoek","given":"K. W.","non-dropping-particle":"Van Der","parse-names":false,"suffix":""},{"dropping-particle":"","family":"Olivier","given":"J. G J","non-dropping-particle":"","parse-names":false,"suffix":""}],"container-title":"Global Biogeochemical Cycles","id":"ITEM-1","issue":"4","issued":{"date-parts":[["1997"]]},"page":"561-587","title":"A global high-resolution emission inventory for ammonia","type":"article-journal","volume":"11"},"uris":["http://www.mendeley.com/documents/?uuid=55451435-9c67-4c5b-a832-46c72d7fe66f"]},{"id":"ITEM-2","itemData":{"DOI":"10.1002/jgrg.20042, 2013","abstract":"We describe the fourth generation of the Global Fire Emissions Database (GFED4) burned area data set, which provides global monthly burned area at 0.25° spatial resolution from mid-1995 through the present and daily burned area for the time series extending back to August 2000. We produced the full data set by combining 500 m MODIS burned area maps with active fire data from the Tropical Rainfall Measuring Mission (TRMM) Visible and Infrared Scanner (VIRS) and the Along-Track Scanning Radiometer (ATSR) family of sensors. We found that the global annual area burned for the years 1997 through 2011 varied from 301 to 377 Mha, with an average of 348 Mha. We assessed the interannual variability and trends in burned area on the basis of a region-specific definition of fire years. With respect to trends, we found a gradual decrease of 1.7 Mha yr–1 (–1.4% yr–1) in Northern Hemisphere Africa since 2000, a gradual increase of 2.3 Mha yr–1 (+1.8% yr–1) in Southern Hemisphere Africa also since 2000, a slight increase of 0.2 Mha yr–1 (+2.5% yr–1) in Southeast Asia since 1997, and a rapid decrease of approximately 5.5Mha yr–1 (–10.7% yr–1) from 2001 through 2011 in Australia, followed by a major upsurge in 2011 that exceeded the annual area burned in at least the previous 14 years. The net trend in global burned area from 2000 to 2012 was a modest decrease of 4.3 Mha yr–1 (–1.2% yr–1). We also performed a spectral analysis of the daily burned area time series and found no vestiges of the 16 day MODIS repeat cycle.","author":[{"dropping-particle":"","family":"Giglio","given":"Louis","non-dropping-particle":"","parse-names":false,"suffix":""},{"dropping-particle":"","family":"Randerson","given":"James T.","non-dropping-particle":"","parse-names":false,"suffix":""},{"dropping-particle":"","family":"Werf","given":"Guido R.","non-dropping-particle":"van der","parse-names":false,"suffix":""}],"container-title":"Journal of Geophysical Research : Biogeosciences","id":"ITEM-2","issued":{"date-parts":[["2013"]]},"page":"317–328","title":"Analysis of daily, monthly, and annual burned area using the fourth-generation global fire emissions database (GFED4)","type":"article-journal","volume":"118"},"uris":["http://www.mendeley.com/documents/?uuid=94ce7df5-f308-4500-91e5-136ec4518f83"]},{"id":"ITEM-3","itemData":{"DOI":"10.5194/acp-17- 50 8681-2017","abstract":"This paper presents the first comprehensive assessment of historical (1990&amp;ndash;2010) global anthropogenic particulate matter (PM) emissions including consistent and harmonized calculation of mass-based size distribution (PM1, PM2.5, PM10) as well as primary carbonaceous aerosols including black carbon (BC) and organic carbon (OC). The estimates were developed with the integrated assessment model GAINS, where source- and region-specific technology characteristics are explicitly included. This assessment includes a number of previously unaccounted or often misallocated emission sources, i.e., kerosene lamps, gas flaring, diesel generators, trash burning; some of them were reported in the past for selected regions or in the context of a particular pollutant or sector but not included as part of a total estimate. Spatially, emissions were calculated for 170 source regions (as well as international shipping), presented for 25 global regions, and allocated to 0.5&amp;deg;&amp;thinsp;x&amp;thinsp;0.5&amp;deg; longitude-latitude grids. No independent estimates of emissions from forest fires and savannah burning are provided and neither windblown dust nor unpaved roads emissions are included. We estimate that global emissions of PM have not changed significantly between 1990 and 2010, showing a strong decoupling from the global increase in energy consumption and consequently, CO2 emissions but there are significantly different regional trends, with a particularly strong increase in East Asia and Africa and a strong decline in Europe, North America and Pacific. This in turn resulted in important changes in the spatial pattern of PM burden, e.g., European, North American, and Pacific contributions to global emissions dropped from nearly 30&amp;thinsp;% in 1990 to well below 15&amp;thinsp;% in 2010, while Asia's contribution grew from just over 50&amp;thinsp;% to nearly 2/3 of the global total in 2010. For all considered PM species, Asian sources represented over 60&amp;thinsp;% of the global anthropogenic total, and residential combustion was the most important sector contributing about 60&amp;thinsp;% for BC and OC, 45&amp;thinsp;% for PM2.5 and less than 40&amp;thinsp;% for PM10 where large combustion sources and industrial processes are equally important. Global anthropogenic emissions of BC were estimated at about 6.6 and 7.2&amp;thinsp;Tg in 2000 and 2010, respectively, and represent about 15&amp;thinsp;% of PM2.5 but for some sources reach nearly 50&amp;thinsp;%, i.e., transport sector. Our global BC numbers ar…","author":[{"dropping-particle":"","family":"Klimont","given":"Zbigniew","non-dropping-particle":"","parse-names":false,"suffix":""},{"dropping-particle":"","family":"Kupiainen","given":"Kaarle","non-dropping-particle":"","parse-names":false,"suffix":""},{"dropping-particle":"","family":"Heyes","given":"Chris","non-dropping-particle":"","parse-names":false,"suffix":""},{"dropping-particle":"","family":"Purohit","given":"Pallav","non-dropping-particle":"","parse-names":false,"suffix":""},{"dropping-particle":"","family":"Cofala","given":"Janusz","non-dropping-particle":"","parse-names":false,"suffix":""},{"dropping-particle":"","family":"Rafaj","given":"Peter","non-dropping-particle":"","parse-names":false,"suffix":""},{"dropping-particle":"","family":"Borken-Kleefeld","given":"Jens","non-dropping-particle":"","parse-names":false,"suffix":""},{"dropping-particle":"","family":"Schöpp","given":"Wolfgang","non-dropping-particle":"","parse-names":false,"suffix":""}],"container-title":"Atmospheric Chemistry and Physics","id":"ITEM-3","issued":{"date-parts":[["2017"]]},"page":"8681-8723","title":"Global anthropogenic emissions of particulate matter including black carbon","type":"article-journal","volume":"17"},"uris":["http://www.mendeley.com/documents/?uuid=7164f569-d62e-4f5d-ab5b-c3fdd32dfb27"]}],"mendeley":{"formattedCitation":"&lt;sup&gt;1–3&lt;/sup&gt;","plainTextFormattedCitation":"1–3","previouslyFormattedCitation":"&lt;sup&gt;41,59,60&lt;/sup&gt;"},"properties":{"noteIndex":0},"schema":"https://github.com/citation-style-language/schema/raw/master/csl-citation.json"}</w:instrText>
      </w:r>
      <w:r w:rsidRPr="00A57BAE">
        <w:rPr>
          <w:rFonts w:ascii="Times New Roman" w:hAnsi="Times New Roman" w:cs="Times New Roman"/>
          <w:i w:val="0"/>
          <w:iCs w:val="0"/>
          <w:color w:val="auto"/>
          <w:sz w:val="24"/>
          <w:szCs w:val="24"/>
        </w:rPr>
        <w:fldChar w:fldCharType="separate"/>
      </w:r>
      <w:r w:rsidRPr="006D160E">
        <w:rPr>
          <w:rFonts w:ascii="Times New Roman" w:hAnsi="Times New Roman" w:cs="Times New Roman"/>
          <w:i w:val="0"/>
          <w:iCs w:val="0"/>
          <w:noProof/>
          <w:color w:val="auto"/>
          <w:sz w:val="24"/>
          <w:szCs w:val="24"/>
          <w:vertAlign w:val="superscript"/>
        </w:rPr>
        <w:t>1–3</w:t>
      </w:r>
      <w:r w:rsidRPr="00A57BAE">
        <w:rPr>
          <w:rFonts w:ascii="Times New Roman" w:hAnsi="Times New Roman" w:cs="Times New Roman"/>
          <w:i w:val="0"/>
          <w:iCs w:val="0"/>
          <w:color w:val="auto"/>
          <w:sz w:val="24"/>
          <w:szCs w:val="24"/>
        </w:rPr>
        <w:fldChar w:fldCharType="end"/>
      </w:r>
      <w:r w:rsidRPr="00A57BAE">
        <w:rPr>
          <w:rFonts w:ascii="Times New Roman" w:hAnsi="Times New Roman" w:cs="Times New Roman"/>
          <w:i w:val="0"/>
          <w:iCs w:val="0"/>
          <w:color w:val="auto"/>
          <w:sz w:val="24"/>
          <w:szCs w:val="24"/>
        </w:rPr>
        <w:t xml:space="preserve">. The diagram shows the Pearson’s correlation coefficient (gauging similarity in pattern between the forward and backward simulated concentrations) that is related to the azimuthal angle (blue contours); the standard deviation of modelled concentrations is proportional to the radial distance from the origin (black contours) and the centered RMSE of modelled concentrations is proportional to the distance from the reference standard deviation (green contours). In most cases, forward and backward simulated concentrations are associated with Pearson’s correlation coefficient above 0.7, and low standard deviations (&lt;1 </w:t>
      </w:r>
      <w:proofErr w:type="spellStart"/>
      <w:r w:rsidRPr="00A57BAE">
        <w:rPr>
          <w:rFonts w:ascii="Times New Roman" w:hAnsi="Times New Roman" w:cs="Times New Roman"/>
          <w:i w:val="0"/>
          <w:iCs w:val="0"/>
          <w:color w:val="auto"/>
          <w:sz w:val="24"/>
          <w:szCs w:val="24"/>
        </w:rPr>
        <w:t>μg</w:t>
      </w:r>
      <w:proofErr w:type="spellEnd"/>
      <w:r w:rsidRPr="00A57BAE">
        <w:rPr>
          <w:rFonts w:ascii="Times New Roman" w:hAnsi="Times New Roman" w:cs="Times New Roman"/>
          <w:i w:val="0"/>
          <w:iCs w:val="0"/>
          <w:color w:val="auto"/>
          <w:sz w:val="24"/>
          <w:szCs w:val="24"/>
        </w:rPr>
        <w:t xml:space="preserve"> N m-3) and RMSEs (&lt;0.7 </w:t>
      </w:r>
      <w:proofErr w:type="spellStart"/>
      <w:r w:rsidRPr="00A57BAE">
        <w:rPr>
          <w:rFonts w:ascii="Times New Roman" w:hAnsi="Times New Roman" w:cs="Times New Roman"/>
          <w:i w:val="0"/>
          <w:iCs w:val="0"/>
          <w:color w:val="auto"/>
          <w:sz w:val="24"/>
          <w:szCs w:val="24"/>
        </w:rPr>
        <w:t>μg</w:t>
      </w:r>
      <w:proofErr w:type="spellEnd"/>
      <w:r w:rsidRPr="00A57BAE">
        <w:rPr>
          <w:rFonts w:ascii="Times New Roman" w:hAnsi="Times New Roman" w:cs="Times New Roman"/>
          <w:i w:val="0"/>
          <w:iCs w:val="0"/>
          <w:color w:val="auto"/>
          <w:sz w:val="24"/>
          <w:szCs w:val="24"/>
        </w:rPr>
        <w:t xml:space="preserve"> N m-3), which implies the coherence of the two versions.</w:t>
      </w:r>
    </w:p>
    <w:p w14:paraId="29DE8CC1" w14:textId="1401940F" w:rsidR="006D160E" w:rsidRDefault="006D160E">
      <w:pPr>
        <w:rPr>
          <w:rFonts w:ascii="Times New Roman" w:hAnsi="Times New Roman" w:cs="Times New Roman"/>
          <w:b/>
          <w:bCs/>
          <w:sz w:val="24"/>
        </w:rPr>
      </w:pPr>
      <w:r>
        <w:rPr>
          <w:rFonts w:ascii="Times New Roman" w:hAnsi="Times New Roman" w:cs="Times New Roman"/>
          <w:b/>
          <w:bCs/>
          <w:sz w:val="24"/>
        </w:rPr>
        <w:br w:type="page"/>
      </w:r>
    </w:p>
    <w:p w14:paraId="1B99AD90" w14:textId="5102D810" w:rsidR="006D160E" w:rsidRDefault="006D160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7527AF1B" wp14:editId="3D6586F9">
            <wp:extent cx="5580380" cy="3720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0380" cy="3720465"/>
                    </a:xfrm>
                    <a:prstGeom prst="rect">
                      <a:avLst/>
                    </a:prstGeom>
                  </pic:spPr>
                </pic:pic>
              </a:graphicData>
            </a:graphic>
          </wp:inline>
        </w:drawing>
      </w:r>
    </w:p>
    <w:p w14:paraId="59CA9B0F" w14:textId="77777777" w:rsidR="006D160E" w:rsidRPr="00243ED1" w:rsidRDefault="006D160E" w:rsidP="006D160E">
      <w:pPr>
        <w:pStyle w:val="Caption"/>
        <w:rPr>
          <w:rFonts w:ascii="Times New Roman" w:hAnsi="Times New Roman" w:cs="Times New Roman"/>
          <w:i w:val="0"/>
          <w:iCs w:val="0"/>
          <w:color w:val="auto"/>
          <w:sz w:val="40"/>
          <w:szCs w:val="24"/>
        </w:rPr>
      </w:pPr>
      <w:bookmarkStart w:id="3" w:name="_Ref111455438"/>
      <w:r w:rsidRPr="005A6F0F">
        <w:rPr>
          <w:rFonts w:ascii="Times New Roman" w:hAnsi="Times New Roman" w:cs="Times New Roman"/>
          <w:b/>
          <w:bCs/>
          <w:i w:val="0"/>
          <w:iCs w:val="0"/>
          <w:color w:val="000000" w:themeColor="text1"/>
          <w:sz w:val="24"/>
          <w:szCs w:val="24"/>
        </w:rPr>
        <w:t xml:space="preserve">Supplementary Figure S </w:t>
      </w:r>
      <w:r w:rsidRPr="005A6F0F">
        <w:rPr>
          <w:rFonts w:ascii="Times New Roman" w:hAnsi="Times New Roman" w:cs="Times New Roman"/>
          <w:b/>
          <w:bCs/>
          <w:i w:val="0"/>
          <w:iCs w:val="0"/>
          <w:color w:val="000000" w:themeColor="text1"/>
          <w:sz w:val="24"/>
          <w:szCs w:val="24"/>
        </w:rPr>
        <w:fldChar w:fldCharType="begin"/>
      </w:r>
      <w:r w:rsidRPr="005A6F0F">
        <w:rPr>
          <w:rFonts w:ascii="Times New Roman" w:hAnsi="Times New Roman" w:cs="Times New Roman"/>
          <w:b/>
          <w:bCs/>
          <w:i w:val="0"/>
          <w:iCs w:val="0"/>
          <w:color w:val="000000" w:themeColor="text1"/>
          <w:sz w:val="24"/>
          <w:szCs w:val="24"/>
        </w:rPr>
        <w:instrText xml:space="preserve"> SEQ Supplementary_Figure_S \* ARABIC </w:instrText>
      </w:r>
      <w:r w:rsidRPr="005A6F0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5A6F0F">
        <w:rPr>
          <w:rFonts w:ascii="Times New Roman" w:hAnsi="Times New Roman" w:cs="Times New Roman"/>
          <w:b/>
          <w:bCs/>
          <w:i w:val="0"/>
          <w:iCs w:val="0"/>
          <w:color w:val="000000" w:themeColor="text1"/>
          <w:sz w:val="24"/>
          <w:szCs w:val="24"/>
        </w:rPr>
        <w:fldChar w:fldCharType="end"/>
      </w:r>
      <w:bookmarkEnd w:id="3"/>
      <w:r w:rsidRPr="00345F8D">
        <w:rPr>
          <w:rFonts w:ascii="Times New Roman" w:hAnsi="Times New Roman" w:cs="Times New Roman"/>
          <w:i w:val="0"/>
          <w:iCs w:val="0"/>
          <w:color w:val="auto"/>
          <w:sz w:val="24"/>
          <w:szCs w:val="24"/>
        </w:rPr>
        <w:t xml:space="preserve">. (a) Total a priori emissions of ammonia over Europe for the inversion period </w:t>
      </w:r>
      <w:r>
        <w:rPr>
          <w:rFonts w:ascii="Times New Roman" w:hAnsi="Times New Roman" w:cs="Times New Roman"/>
          <w:i w:val="0"/>
          <w:iCs w:val="0"/>
          <w:color w:val="auto"/>
          <w:sz w:val="24"/>
          <w:szCs w:val="24"/>
        </w:rPr>
        <w:t xml:space="preserve">(January – June) from EC6G4. The total emitted amount is equal to 6.2 Tg. (b) Total a </w:t>
      </w:r>
      <w:proofErr w:type="gramStart"/>
      <w:r>
        <w:rPr>
          <w:rFonts w:ascii="Times New Roman" w:hAnsi="Times New Roman" w:cs="Times New Roman"/>
          <w:i w:val="0"/>
          <w:iCs w:val="0"/>
          <w:color w:val="auto"/>
          <w:sz w:val="24"/>
          <w:szCs w:val="24"/>
        </w:rPr>
        <w:t>posteriori emissions of ammonia</w:t>
      </w:r>
      <w:proofErr w:type="gramEnd"/>
      <w:r>
        <w:rPr>
          <w:rFonts w:ascii="Times New Roman" w:hAnsi="Times New Roman" w:cs="Times New Roman"/>
          <w:i w:val="0"/>
          <w:iCs w:val="0"/>
          <w:color w:val="auto"/>
          <w:sz w:val="24"/>
          <w:szCs w:val="24"/>
        </w:rPr>
        <w:t xml:space="preserve"> over Europe for the inversion period (January – June). The emissions are an average of respective inversions for years 2016 – 2019 and amount 9.6 Tg. (c) Total posterior emissions of ammonia over Europe in 2020 (8.7 Tg). (d). Timeseries of weekly-average prior emissions of ammonia over Europe (January to June) from EC6G4. (e) Timeseries of weekly-average posterior emissions of ammonia over Europe for years 2016–2019 (January to June). (f) Timeseries of weekly-average posterior emissions of ammonia over Europe in 2020. Separate calculations for the effect of reduced chemical reactions (dashed blue line) versus changes in the atmospheric levels (straight blue line) during the lockdown period (light yellow) are plotted together with the </w:t>
      </w:r>
      <w:proofErr w:type="spellStart"/>
      <w:r>
        <w:rPr>
          <w:rFonts w:ascii="Times New Roman" w:hAnsi="Times New Roman" w:cs="Times New Roman"/>
          <w:i w:val="0"/>
          <w:iCs w:val="0"/>
          <w:color w:val="auto"/>
          <w:sz w:val="24"/>
          <w:szCs w:val="24"/>
        </w:rPr>
        <w:t>CrIS</w:t>
      </w:r>
      <w:proofErr w:type="spellEnd"/>
      <w:r>
        <w:rPr>
          <w:rFonts w:ascii="Times New Roman" w:hAnsi="Times New Roman" w:cs="Times New Roman"/>
          <w:i w:val="0"/>
          <w:iCs w:val="0"/>
          <w:color w:val="auto"/>
          <w:sz w:val="24"/>
          <w:szCs w:val="24"/>
        </w:rPr>
        <w:t xml:space="preserve"> observations averaged over Europe (red line) and minimum, </w:t>
      </w:r>
      <w:proofErr w:type="gramStart"/>
      <w:r>
        <w:rPr>
          <w:rFonts w:ascii="Times New Roman" w:hAnsi="Times New Roman" w:cs="Times New Roman"/>
          <w:i w:val="0"/>
          <w:iCs w:val="0"/>
          <w:color w:val="auto"/>
          <w:sz w:val="24"/>
          <w:szCs w:val="24"/>
        </w:rPr>
        <w:t>mean</w:t>
      </w:r>
      <w:proofErr w:type="gramEnd"/>
      <w:r>
        <w:rPr>
          <w:rFonts w:ascii="Times New Roman" w:hAnsi="Times New Roman" w:cs="Times New Roman"/>
          <w:i w:val="0"/>
          <w:iCs w:val="0"/>
          <w:color w:val="auto"/>
          <w:sz w:val="24"/>
          <w:szCs w:val="24"/>
        </w:rPr>
        <w:t xml:space="preserve"> and maximum ammonia emissions in previous years (2016–2019). Single top number shows the change in ammonia emissions during the 2020 lockdown as compared to the same period the years before (-12.3%), whereas the two bottom ones show the respective changes in ammonia emissions during the 2020 lockdown as compared to the period before lockdown (-18.2%), and during period after lockdown finished compared to the lockdown period (-5.6%).</w:t>
      </w:r>
    </w:p>
    <w:p w14:paraId="4CAB6B36" w14:textId="7AF7D346" w:rsidR="006D160E" w:rsidRDefault="006D160E">
      <w:pPr>
        <w:rPr>
          <w:rFonts w:ascii="Times New Roman" w:hAnsi="Times New Roman" w:cs="Times New Roman"/>
          <w:b/>
          <w:bCs/>
          <w:sz w:val="24"/>
        </w:rPr>
      </w:pPr>
      <w:r>
        <w:rPr>
          <w:rFonts w:ascii="Times New Roman" w:hAnsi="Times New Roman" w:cs="Times New Roman"/>
          <w:b/>
          <w:bCs/>
          <w:sz w:val="24"/>
        </w:rPr>
        <w:br w:type="page"/>
      </w:r>
    </w:p>
    <w:p w14:paraId="107115F3" w14:textId="17D7D0D7" w:rsidR="006D160E" w:rsidRDefault="006D160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4D7374B0" wp14:editId="25A7C066">
            <wp:extent cx="5580380" cy="3720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0380" cy="3720465"/>
                    </a:xfrm>
                    <a:prstGeom prst="rect">
                      <a:avLst/>
                    </a:prstGeom>
                  </pic:spPr>
                </pic:pic>
              </a:graphicData>
            </a:graphic>
          </wp:inline>
        </w:drawing>
      </w:r>
    </w:p>
    <w:p w14:paraId="673CCB82" w14:textId="77777777" w:rsidR="006D160E" w:rsidRDefault="006D160E" w:rsidP="006D160E">
      <w:pPr>
        <w:pStyle w:val="Caption"/>
        <w:rPr>
          <w:rFonts w:ascii="Times New Roman" w:hAnsi="Times New Roman" w:cs="Times New Roman"/>
          <w:i w:val="0"/>
          <w:iCs w:val="0"/>
          <w:color w:val="auto"/>
          <w:sz w:val="24"/>
          <w:szCs w:val="24"/>
        </w:rPr>
      </w:pPr>
      <w:bookmarkStart w:id="4" w:name="_Ref107608293"/>
      <w:r>
        <w:rPr>
          <w:rFonts w:ascii="Times New Roman" w:hAnsi="Times New Roman" w:cs="Times New Roman"/>
          <w:b/>
          <w:bCs/>
          <w:i w:val="0"/>
          <w:iCs w:val="0"/>
          <w:color w:val="auto"/>
          <w:sz w:val="24"/>
          <w:szCs w:val="24"/>
        </w:rPr>
        <w:t>Supplementary Figure S</w:t>
      </w:r>
      <w:r w:rsidRPr="00345F8D">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bookmarkEnd w:id="4"/>
      <w:r>
        <w:rPr>
          <w:rFonts w:ascii="Times New Roman" w:hAnsi="Times New Roman" w:cs="Times New Roman"/>
          <w:i w:val="0"/>
          <w:iCs w:val="0"/>
          <w:color w:val="auto"/>
          <w:sz w:val="24"/>
          <w:szCs w:val="24"/>
        </w:rPr>
        <w:t>. (a) Total a p</w:t>
      </w:r>
      <w:r w:rsidRPr="003646AD">
        <w:rPr>
          <w:rFonts w:ascii="Times New Roman" w:hAnsi="Times New Roman" w:cs="Times New Roman"/>
          <w:i w:val="0"/>
          <w:iCs w:val="0"/>
          <w:color w:val="auto"/>
          <w:sz w:val="24"/>
          <w:szCs w:val="24"/>
        </w:rPr>
        <w:t>rior</w:t>
      </w:r>
      <w:r>
        <w:rPr>
          <w:rFonts w:ascii="Times New Roman" w:hAnsi="Times New Roman" w:cs="Times New Roman"/>
          <w:i w:val="0"/>
          <w:iCs w:val="0"/>
          <w:color w:val="auto"/>
          <w:sz w:val="24"/>
          <w:szCs w:val="24"/>
        </w:rPr>
        <w:t>i</w:t>
      </w:r>
      <w:r w:rsidRPr="003646AD">
        <w:rPr>
          <w:rFonts w:ascii="Times New Roman" w:hAnsi="Times New Roman" w:cs="Times New Roman"/>
          <w:i w:val="0"/>
          <w:iCs w:val="0"/>
          <w:color w:val="auto"/>
          <w:sz w:val="24"/>
          <w:szCs w:val="24"/>
        </w:rPr>
        <w:t xml:space="preserve"> emissions of</w:t>
      </w:r>
      <w:r>
        <w:rPr>
          <w:rFonts w:ascii="Times New Roman" w:hAnsi="Times New Roman" w:cs="Times New Roman"/>
          <w:i w:val="0"/>
          <w:iCs w:val="0"/>
          <w:color w:val="auto"/>
          <w:sz w:val="24"/>
          <w:szCs w:val="24"/>
        </w:rPr>
        <w:t xml:space="preserve"> ammonia over Europe for the inversion period (January – June) from the VD inventory. The total emitted amount is equal to 5.7 Tg. (b) Total a </w:t>
      </w:r>
      <w:proofErr w:type="gramStart"/>
      <w:r>
        <w:rPr>
          <w:rFonts w:ascii="Times New Roman" w:hAnsi="Times New Roman" w:cs="Times New Roman"/>
          <w:i w:val="0"/>
          <w:iCs w:val="0"/>
          <w:color w:val="auto"/>
          <w:sz w:val="24"/>
          <w:szCs w:val="24"/>
        </w:rPr>
        <w:t>posteriori emissions of ammonia</w:t>
      </w:r>
      <w:proofErr w:type="gramEnd"/>
      <w:r>
        <w:rPr>
          <w:rFonts w:ascii="Times New Roman" w:hAnsi="Times New Roman" w:cs="Times New Roman"/>
          <w:i w:val="0"/>
          <w:iCs w:val="0"/>
          <w:color w:val="auto"/>
          <w:sz w:val="24"/>
          <w:szCs w:val="24"/>
        </w:rPr>
        <w:t xml:space="preserve"> over Europe for the inversion period (January – June). The emissions are an average of respective inversions for years 2016 – 2019 and amount 8.9 Tg. (c) Total posterior emissions of ammonia over Europe in 2020 (8.3 Tg). (d). Timeseries of weekly-average prior emissions of ammonia over Europe (January to June) from VD. (e) Timeseries of weekly-average posterior emissions of ammonia over Europe for years 2016–2019 (January to June). (f) Timeseries of weekly-average posterior emissions of ammonia over Europe in 2020. Separate calculations for the effect of reduced chemical reactions (dashed blue line) versus changes in the atmospheric levels (straight blue line) during the lockdown period (light yellow) are plotted together with the </w:t>
      </w:r>
      <w:proofErr w:type="spellStart"/>
      <w:r>
        <w:rPr>
          <w:rFonts w:ascii="Times New Roman" w:hAnsi="Times New Roman" w:cs="Times New Roman"/>
          <w:i w:val="0"/>
          <w:iCs w:val="0"/>
          <w:color w:val="auto"/>
          <w:sz w:val="24"/>
          <w:szCs w:val="24"/>
        </w:rPr>
        <w:t>CrIS</w:t>
      </w:r>
      <w:proofErr w:type="spellEnd"/>
      <w:r>
        <w:rPr>
          <w:rFonts w:ascii="Times New Roman" w:hAnsi="Times New Roman" w:cs="Times New Roman"/>
          <w:i w:val="0"/>
          <w:iCs w:val="0"/>
          <w:color w:val="auto"/>
          <w:sz w:val="24"/>
          <w:szCs w:val="24"/>
        </w:rPr>
        <w:t xml:space="preserve"> observations averaged over Europe (red line) and minimum, </w:t>
      </w:r>
      <w:proofErr w:type="gramStart"/>
      <w:r>
        <w:rPr>
          <w:rFonts w:ascii="Times New Roman" w:hAnsi="Times New Roman" w:cs="Times New Roman"/>
          <w:i w:val="0"/>
          <w:iCs w:val="0"/>
          <w:color w:val="auto"/>
          <w:sz w:val="24"/>
          <w:szCs w:val="24"/>
        </w:rPr>
        <w:t>mean</w:t>
      </w:r>
      <w:proofErr w:type="gramEnd"/>
      <w:r>
        <w:rPr>
          <w:rFonts w:ascii="Times New Roman" w:hAnsi="Times New Roman" w:cs="Times New Roman"/>
          <w:i w:val="0"/>
          <w:iCs w:val="0"/>
          <w:color w:val="auto"/>
          <w:sz w:val="24"/>
          <w:szCs w:val="24"/>
        </w:rPr>
        <w:t xml:space="preserve"> and maximum ammonia emissions in previous years (2016–2019). Single top number shows the change in ammonia emissions during the 2020 lockdown as compared to the same period the years before (-11.0%), the two bottom ones show the respective changes in ammonia emissions during the 2020 lockdown as compared to the period before lockdown (-7.9%), and the period after lockdown finished compared to the lockdown period (+18.1%).</w:t>
      </w:r>
    </w:p>
    <w:p w14:paraId="225832B7" w14:textId="2F8CBE8E" w:rsidR="006D160E" w:rsidRDefault="006D160E">
      <w:pPr>
        <w:rPr>
          <w:rFonts w:ascii="Times New Roman" w:hAnsi="Times New Roman" w:cs="Times New Roman"/>
          <w:b/>
          <w:bCs/>
          <w:sz w:val="24"/>
        </w:rPr>
      </w:pPr>
      <w:r>
        <w:rPr>
          <w:rFonts w:ascii="Times New Roman" w:hAnsi="Times New Roman" w:cs="Times New Roman"/>
          <w:b/>
          <w:bCs/>
          <w:sz w:val="24"/>
        </w:rPr>
        <w:br w:type="page"/>
      </w:r>
    </w:p>
    <w:p w14:paraId="45771B96" w14:textId="0C536D63" w:rsidR="006D160E" w:rsidRPr="007E2A69" w:rsidRDefault="006D160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779835B2" wp14:editId="2DC283AD">
            <wp:extent cx="5580380" cy="44640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380" cy="4464050"/>
                    </a:xfrm>
                    <a:prstGeom prst="rect">
                      <a:avLst/>
                    </a:prstGeom>
                  </pic:spPr>
                </pic:pic>
              </a:graphicData>
            </a:graphic>
          </wp:inline>
        </w:drawing>
      </w:r>
    </w:p>
    <w:p w14:paraId="2C9E4CF4" w14:textId="77777777" w:rsidR="006D160E" w:rsidRDefault="006D160E" w:rsidP="006D160E">
      <w:pPr>
        <w:pStyle w:val="Caption"/>
        <w:rPr>
          <w:rFonts w:ascii="Times New Roman" w:hAnsi="Times New Roman" w:cs="Times New Roman"/>
          <w:i w:val="0"/>
          <w:iCs w:val="0"/>
          <w:color w:val="auto"/>
          <w:sz w:val="24"/>
          <w:szCs w:val="24"/>
        </w:rPr>
      </w:pPr>
      <w:bookmarkStart w:id="5" w:name="_Ref111455784"/>
      <w:r w:rsidRPr="007E2A69">
        <w:rPr>
          <w:rFonts w:ascii="Times New Roman" w:hAnsi="Times New Roman" w:cs="Times New Roman"/>
          <w:b/>
          <w:bCs/>
          <w:i w:val="0"/>
          <w:iCs w:val="0"/>
          <w:color w:val="auto"/>
          <w:sz w:val="24"/>
          <w:szCs w:val="24"/>
        </w:rPr>
        <w:t xml:space="preserve">Supplementary Figure S </w:t>
      </w:r>
      <w:r w:rsidRPr="007E2A69">
        <w:rPr>
          <w:rFonts w:ascii="Times New Roman" w:hAnsi="Times New Roman" w:cs="Times New Roman"/>
          <w:b/>
          <w:bCs/>
          <w:i w:val="0"/>
          <w:iCs w:val="0"/>
          <w:color w:val="auto"/>
          <w:sz w:val="24"/>
          <w:szCs w:val="24"/>
        </w:rPr>
        <w:fldChar w:fldCharType="begin"/>
      </w:r>
      <w:r w:rsidRPr="007E2A69">
        <w:rPr>
          <w:rFonts w:ascii="Times New Roman" w:hAnsi="Times New Roman" w:cs="Times New Roman"/>
          <w:b/>
          <w:bCs/>
          <w:i w:val="0"/>
          <w:iCs w:val="0"/>
          <w:color w:val="auto"/>
          <w:sz w:val="24"/>
          <w:szCs w:val="24"/>
        </w:rPr>
        <w:instrText xml:space="preserve"> SEQ Supplementary_Figure_S \* ARABIC </w:instrText>
      </w:r>
      <w:r w:rsidRPr="007E2A69">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7E2A69">
        <w:rPr>
          <w:rFonts w:ascii="Times New Roman" w:hAnsi="Times New Roman" w:cs="Times New Roman"/>
          <w:b/>
          <w:bCs/>
          <w:i w:val="0"/>
          <w:iCs w:val="0"/>
          <w:color w:val="auto"/>
          <w:sz w:val="24"/>
          <w:szCs w:val="24"/>
        </w:rPr>
        <w:fldChar w:fldCharType="end"/>
      </w:r>
      <w:bookmarkEnd w:id="5"/>
      <w:r w:rsidRPr="007E2A6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Pr="007E2A69">
        <w:rPr>
          <w:rFonts w:ascii="Times New Roman" w:hAnsi="Times New Roman" w:cs="Times New Roman"/>
          <w:i w:val="0"/>
          <w:iCs w:val="0"/>
          <w:color w:val="auto"/>
          <w:sz w:val="24"/>
          <w:szCs w:val="24"/>
        </w:rPr>
        <w:t>Scatter plots of prior and posterior ammonia concentrations against independent observations (observations that were not included in the inversion framework) from EMEP network from January to June 2020. Three statistical measures (</w:t>
      </w:r>
      <w:proofErr w:type="spellStart"/>
      <w:r w:rsidRPr="007E2A69">
        <w:rPr>
          <w:rFonts w:ascii="Times New Roman" w:hAnsi="Times New Roman" w:cs="Times New Roman"/>
          <w:i w:val="0"/>
          <w:iCs w:val="0"/>
          <w:color w:val="auto"/>
          <w:sz w:val="24"/>
          <w:szCs w:val="24"/>
        </w:rPr>
        <w:t>nRMSE</w:t>
      </w:r>
      <w:proofErr w:type="spellEnd"/>
      <w:r w:rsidRPr="007E2A69">
        <w:rPr>
          <w:rFonts w:ascii="Times New Roman" w:hAnsi="Times New Roman" w:cs="Times New Roman"/>
          <w:i w:val="0"/>
          <w:iCs w:val="0"/>
          <w:color w:val="auto"/>
          <w:sz w:val="24"/>
          <w:szCs w:val="24"/>
        </w:rPr>
        <w:t xml:space="preserve">, MFB and </w:t>
      </w:r>
      <w:proofErr w:type="spellStart"/>
      <w:r w:rsidRPr="007E2A69">
        <w:rPr>
          <w:rFonts w:ascii="Times New Roman" w:hAnsi="Times New Roman" w:cs="Times New Roman"/>
          <w:i w:val="0"/>
          <w:iCs w:val="0"/>
          <w:color w:val="auto"/>
          <w:sz w:val="24"/>
          <w:szCs w:val="24"/>
        </w:rPr>
        <w:t>nMAE</w:t>
      </w:r>
      <w:proofErr w:type="spellEnd"/>
      <w:r w:rsidRPr="007E2A69">
        <w:rPr>
          <w:rFonts w:ascii="Times New Roman" w:hAnsi="Times New Roman" w:cs="Times New Roman"/>
          <w:i w:val="0"/>
          <w:iCs w:val="0"/>
          <w:color w:val="auto"/>
          <w:sz w:val="24"/>
          <w:szCs w:val="24"/>
        </w:rPr>
        <w:t>) were used to assess the performance of the inversion.</w:t>
      </w:r>
    </w:p>
    <w:p w14:paraId="4FFB0881" w14:textId="6E547019" w:rsidR="00325C48" w:rsidRDefault="00325C48">
      <w:pPr>
        <w:rPr>
          <w:rFonts w:ascii="Times New Roman" w:hAnsi="Times New Roman" w:cs="Times New Roman"/>
          <w:b/>
          <w:bCs/>
          <w:sz w:val="24"/>
        </w:rPr>
      </w:pPr>
      <w:r>
        <w:rPr>
          <w:rFonts w:ascii="Times New Roman" w:hAnsi="Times New Roman" w:cs="Times New Roman"/>
          <w:b/>
          <w:bCs/>
          <w:sz w:val="24"/>
        </w:rPr>
        <w:br w:type="page"/>
      </w:r>
    </w:p>
    <w:p w14:paraId="385D6FE2" w14:textId="5A5B5344" w:rsidR="006D160E" w:rsidRPr="00A57BAE" w:rsidRDefault="00325C48"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7C9639DB" wp14:editId="09A9A91D">
            <wp:extent cx="5540189" cy="33579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l="7849" t="8493" r="5124" b="3598"/>
                    <a:stretch/>
                  </pic:blipFill>
                  <pic:spPr bwMode="auto">
                    <a:xfrm>
                      <a:off x="0" y="0"/>
                      <a:ext cx="5560591" cy="3370300"/>
                    </a:xfrm>
                    <a:prstGeom prst="rect">
                      <a:avLst/>
                    </a:prstGeom>
                    <a:ln>
                      <a:noFill/>
                    </a:ln>
                    <a:extLst>
                      <a:ext uri="{53640926-AAD7-44D8-BBD7-CCE9431645EC}">
                        <a14:shadowObscured xmlns:a14="http://schemas.microsoft.com/office/drawing/2010/main"/>
                      </a:ext>
                    </a:extLst>
                  </pic:spPr>
                </pic:pic>
              </a:graphicData>
            </a:graphic>
          </wp:inline>
        </w:drawing>
      </w:r>
    </w:p>
    <w:p w14:paraId="6C820ADC" w14:textId="77777777" w:rsidR="006D160E" w:rsidRPr="001425ED" w:rsidRDefault="006D160E" w:rsidP="006D160E">
      <w:pPr>
        <w:pStyle w:val="Caption"/>
        <w:rPr>
          <w:rFonts w:ascii="Times New Roman" w:hAnsi="Times New Roman" w:cs="Times New Roman"/>
          <w:i w:val="0"/>
          <w:iCs w:val="0"/>
          <w:color w:val="auto"/>
          <w:sz w:val="24"/>
          <w:szCs w:val="24"/>
        </w:rPr>
      </w:pPr>
      <w:bookmarkStart w:id="6" w:name="_Ref104982298"/>
      <w:r>
        <w:rPr>
          <w:rFonts w:ascii="Times New Roman" w:hAnsi="Times New Roman" w:cs="Times New Roman"/>
          <w:b/>
          <w:bCs/>
          <w:i w:val="0"/>
          <w:iCs w:val="0"/>
          <w:color w:val="auto"/>
          <w:sz w:val="24"/>
          <w:szCs w:val="24"/>
        </w:rPr>
        <w:t>Supplementary Figure S</w:t>
      </w:r>
      <w:r w:rsidRPr="00345F8D">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bookmarkEnd w:id="6"/>
      <w:r>
        <w:rPr>
          <w:rFonts w:ascii="Times New Roman" w:hAnsi="Times New Roman" w:cs="Times New Roman"/>
          <w:i w:val="0"/>
          <w:iCs w:val="0"/>
          <w:color w:val="auto"/>
          <w:sz w:val="24"/>
          <w:szCs w:val="24"/>
        </w:rPr>
        <w:t xml:space="preserve">. Timeseries of weekly-average posterior emissions of ammonia over different European countries in 2020 using EC6G4 as a priori emissions. Separate calculations for the effect of reduced chemical reactions (dashed blue line) versus changes in the atmospheric levels (straight blue line) during the lockdown period (light yellow) are plotted together with the </w:t>
      </w:r>
      <w:proofErr w:type="spellStart"/>
      <w:r>
        <w:rPr>
          <w:rFonts w:ascii="Times New Roman" w:hAnsi="Times New Roman" w:cs="Times New Roman"/>
          <w:i w:val="0"/>
          <w:iCs w:val="0"/>
          <w:color w:val="auto"/>
          <w:sz w:val="24"/>
          <w:szCs w:val="24"/>
        </w:rPr>
        <w:t>CrIS</w:t>
      </w:r>
      <w:proofErr w:type="spellEnd"/>
      <w:r>
        <w:rPr>
          <w:rFonts w:ascii="Times New Roman" w:hAnsi="Times New Roman" w:cs="Times New Roman"/>
          <w:i w:val="0"/>
          <w:iCs w:val="0"/>
          <w:color w:val="auto"/>
          <w:sz w:val="24"/>
          <w:szCs w:val="24"/>
        </w:rPr>
        <w:t xml:space="preserve"> observations averaged for each country (red line) and minimum, </w:t>
      </w:r>
      <w:proofErr w:type="gramStart"/>
      <w:r>
        <w:rPr>
          <w:rFonts w:ascii="Times New Roman" w:hAnsi="Times New Roman" w:cs="Times New Roman"/>
          <w:i w:val="0"/>
          <w:iCs w:val="0"/>
          <w:color w:val="auto"/>
          <w:sz w:val="24"/>
          <w:szCs w:val="24"/>
        </w:rPr>
        <w:t>mean</w:t>
      </w:r>
      <w:proofErr w:type="gramEnd"/>
      <w:r>
        <w:rPr>
          <w:rFonts w:ascii="Times New Roman" w:hAnsi="Times New Roman" w:cs="Times New Roman"/>
          <w:i w:val="0"/>
          <w:iCs w:val="0"/>
          <w:color w:val="auto"/>
          <w:sz w:val="24"/>
          <w:szCs w:val="24"/>
        </w:rPr>
        <w:t xml:space="preserve"> and maximum ammonia emissions in previous years (2016–2019). The single top number shows the change in ammonia emissions during the 2020 lockdown as compared to the same period the years before (2016-2019), whereas the two bottom numbers show the change in ammonia emissions during the 2020 lockdown as compared to the period before the lockdown, and during the period after lockdown finished compared to the lockdown period (known as rebound period). The definition of the countries plotted here is shown in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REF _Ref104973390 \h </w:instrText>
      </w:r>
      <w:r>
        <w:rPr>
          <w:rFonts w:ascii="Times New Roman" w:hAnsi="Times New Roman" w:cs="Times New Roman"/>
          <w:i w:val="0"/>
          <w:iCs w:val="0"/>
          <w:color w:val="auto"/>
          <w:sz w:val="24"/>
          <w:szCs w:val="24"/>
        </w:rPr>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rPr>
        <w:t>Extended Data Fig.</w:t>
      </w:r>
      <w:r w:rsidRPr="006B0832">
        <w:rPr>
          <w:rFonts w:ascii="Times New Roman" w:hAnsi="Times New Roman" w:cs="Times New Roman"/>
          <w:i w:val="0"/>
          <w:iCs w:val="0"/>
          <w:color w:val="auto"/>
          <w:sz w:val="24"/>
          <w:szCs w:val="24"/>
        </w:rPr>
        <w:t xml:space="preserve"> </w:t>
      </w:r>
      <w:r>
        <w:rPr>
          <w:rFonts w:ascii="Times New Roman" w:hAnsi="Times New Roman" w:cs="Times New Roman"/>
          <w:i w:val="0"/>
          <w:iCs w:val="0"/>
          <w:noProof/>
          <w:color w:val="auto"/>
          <w:sz w:val="24"/>
          <w:szCs w:val="24"/>
        </w:rPr>
        <w:t>5</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p>
    <w:p w14:paraId="53E79D7F" w14:textId="4CC97B33" w:rsidR="00325C48" w:rsidRDefault="00325C48">
      <w:pPr>
        <w:rPr>
          <w:rFonts w:ascii="Times New Roman" w:hAnsi="Times New Roman" w:cs="Times New Roman"/>
          <w:b/>
          <w:bCs/>
          <w:sz w:val="24"/>
        </w:rPr>
      </w:pPr>
      <w:r>
        <w:rPr>
          <w:rFonts w:ascii="Times New Roman" w:hAnsi="Times New Roman" w:cs="Times New Roman"/>
          <w:b/>
          <w:bCs/>
          <w:sz w:val="24"/>
        </w:rPr>
        <w:br w:type="page"/>
      </w:r>
    </w:p>
    <w:p w14:paraId="6888402C" w14:textId="6C35540E" w:rsidR="006D160E" w:rsidRPr="00A57BAE" w:rsidRDefault="00325C48"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54E6968B" wp14:editId="1A62E0AA">
            <wp:extent cx="5547873" cy="3393537"/>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4" cstate="print">
                      <a:extLst>
                        <a:ext uri="{28A0092B-C50C-407E-A947-70E740481C1C}">
                          <a14:useLocalDpi xmlns:a14="http://schemas.microsoft.com/office/drawing/2010/main" val="0"/>
                        </a:ext>
                      </a:extLst>
                    </a:blip>
                    <a:srcRect l="9638" t="8724" r="5255" b="4514"/>
                    <a:stretch/>
                  </pic:blipFill>
                  <pic:spPr bwMode="auto">
                    <a:xfrm>
                      <a:off x="0" y="0"/>
                      <a:ext cx="5565822" cy="3404516"/>
                    </a:xfrm>
                    <a:prstGeom prst="rect">
                      <a:avLst/>
                    </a:prstGeom>
                    <a:ln>
                      <a:noFill/>
                    </a:ln>
                    <a:extLst>
                      <a:ext uri="{53640926-AAD7-44D8-BBD7-CCE9431645EC}">
                        <a14:shadowObscured xmlns:a14="http://schemas.microsoft.com/office/drawing/2010/main"/>
                      </a:ext>
                    </a:extLst>
                  </pic:spPr>
                </pic:pic>
              </a:graphicData>
            </a:graphic>
          </wp:inline>
        </w:drawing>
      </w:r>
    </w:p>
    <w:p w14:paraId="7791E979" w14:textId="77777777" w:rsidR="006D160E" w:rsidRPr="00F177B0" w:rsidRDefault="006D160E" w:rsidP="006D160E">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Supplementary Figure S</w:t>
      </w:r>
      <w:r w:rsidRPr="00C67003">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Timeseries of weekly-average posterior emissions of ammonia over different European countries in 2020 using VD as a priori emissions. Separate calculations for the effect of reduced chemical reactions (dashed blue line) versus changes in the atmospheric levels (straight blue line) during the lockdown period (light yellow) are plotted together with the </w:t>
      </w:r>
      <w:proofErr w:type="spellStart"/>
      <w:r>
        <w:rPr>
          <w:rFonts w:ascii="Times New Roman" w:hAnsi="Times New Roman" w:cs="Times New Roman"/>
          <w:i w:val="0"/>
          <w:iCs w:val="0"/>
          <w:color w:val="auto"/>
          <w:sz w:val="24"/>
          <w:szCs w:val="24"/>
        </w:rPr>
        <w:t>CrIS</w:t>
      </w:r>
      <w:proofErr w:type="spellEnd"/>
      <w:r>
        <w:rPr>
          <w:rFonts w:ascii="Times New Roman" w:hAnsi="Times New Roman" w:cs="Times New Roman"/>
          <w:i w:val="0"/>
          <w:iCs w:val="0"/>
          <w:color w:val="auto"/>
          <w:sz w:val="24"/>
          <w:szCs w:val="24"/>
        </w:rPr>
        <w:t xml:space="preserve"> observations averaged for each country (red line) and minimum, </w:t>
      </w:r>
      <w:proofErr w:type="gramStart"/>
      <w:r>
        <w:rPr>
          <w:rFonts w:ascii="Times New Roman" w:hAnsi="Times New Roman" w:cs="Times New Roman"/>
          <w:i w:val="0"/>
          <w:iCs w:val="0"/>
          <w:color w:val="auto"/>
          <w:sz w:val="24"/>
          <w:szCs w:val="24"/>
        </w:rPr>
        <w:t>mean</w:t>
      </w:r>
      <w:proofErr w:type="gramEnd"/>
      <w:r>
        <w:rPr>
          <w:rFonts w:ascii="Times New Roman" w:hAnsi="Times New Roman" w:cs="Times New Roman"/>
          <w:i w:val="0"/>
          <w:iCs w:val="0"/>
          <w:color w:val="auto"/>
          <w:sz w:val="24"/>
          <w:szCs w:val="24"/>
        </w:rPr>
        <w:t xml:space="preserve"> and maximum ammonia emissions in previous years (2016–2019). The single top number shows the change in ammonia emissions during the 2020 lockdown as compared to the same period the years before (2016-2019), whereas the two bottom numbers show the change in ammonia emissions during the 2020 lockdown as compared to the period before the lockdown, and during the period after lockdown finished compared to the lockdown period (known as rebound period). The definition of the countries plotted here is shown in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REF _Ref104973390 \h </w:instrText>
      </w:r>
      <w:r>
        <w:rPr>
          <w:rFonts w:ascii="Times New Roman" w:hAnsi="Times New Roman" w:cs="Times New Roman"/>
          <w:i w:val="0"/>
          <w:iCs w:val="0"/>
          <w:color w:val="auto"/>
          <w:sz w:val="24"/>
          <w:szCs w:val="24"/>
        </w:rPr>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rPr>
        <w:t>Extended Data Fig.</w:t>
      </w:r>
      <w:r w:rsidRPr="006B0832">
        <w:rPr>
          <w:rFonts w:ascii="Times New Roman" w:hAnsi="Times New Roman" w:cs="Times New Roman"/>
          <w:i w:val="0"/>
          <w:iCs w:val="0"/>
          <w:color w:val="auto"/>
          <w:sz w:val="24"/>
          <w:szCs w:val="24"/>
        </w:rPr>
        <w:t xml:space="preserve"> </w:t>
      </w:r>
      <w:r>
        <w:rPr>
          <w:rFonts w:ascii="Times New Roman" w:hAnsi="Times New Roman" w:cs="Times New Roman"/>
          <w:i w:val="0"/>
          <w:iCs w:val="0"/>
          <w:noProof/>
          <w:color w:val="auto"/>
          <w:sz w:val="24"/>
          <w:szCs w:val="24"/>
        </w:rPr>
        <w:t>5</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p>
    <w:p w14:paraId="33B6CD14" w14:textId="5E519DF1" w:rsidR="0069187E" w:rsidRDefault="0069187E">
      <w:pPr>
        <w:rPr>
          <w:rFonts w:ascii="Times New Roman" w:hAnsi="Times New Roman" w:cs="Times New Roman"/>
          <w:b/>
          <w:bCs/>
          <w:sz w:val="24"/>
        </w:rPr>
      </w:pPr>
      <w:r>
        <w:rPr>
          <w:rFonts w:ascii="Times New Roman" w:hAnsi="Times New Roman" w:cs="Times New Roman"/>
          <w:b/>
          <w:bCs/>
          <w:sz w:val="24"/>
        </w:rPr>
        <w:br w:type="page"/>
      </w:r>
    </w:p>
    <w:p w14:paraId="7C250BA0" w14:textId="7C09BAFC" w:rsidR="006D160E" w:rsidRPr="00A57BAE" w:rsidRDefault="0069187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1C575BF9" wp14:editId="2BE0047B">
            <wp:extent cx="5580380" cy="41852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185285"/>
                    </a:xfrm>
                    <a:prstGeom prst="rect">
                      <a:avLst/>
                    </a:prstGeom>
                  </pic:spPr>
                </pic:pic>
              </a:graphicData>
            </a:graphic>
          </wp:inline>
        </w:drawing>
      </w:r>
    </w:p>
    <w:p w14:paraId="06E65781" w14:textId="77777777" w:rsidR="006D160E" w:rsidRDefault="006D160E" w:rsidP="006D160E">
      <w:pPr>
        <w:pStyle w:val="Caption"/>
        <w:rPr>
          <w:rFonts w:ascii="Times New Roman" w:hAnsi="Times New Roman" w:cs="Times New Roman"/>
          <w:i w:val="0"/>
          <w:iCs w:val="0"/>
          <w:color w:val="auto"/>
          <w:sz w:val="24"/>
          <w:szCs w:val="24"/>
        </w:rPr>
      </w:pPr>
      <w:bookmarkStart w:id="7" w:name="_Ref104973390"/>
      <w:r>
        <w:rPr>
          <w:rFonts w:ascii="Times New Roman" w:hAnsi="Times New Roman" w:cs="Times New Roman"/>
          <w:b/>
          <w:bCs/>
          <w:i w:val="0"/>
          <w:iCs w:val="0"/>
          <w:color w:val="auto"/>
          <w:sz w:val="24"/>
          <w:szCs w:val="24"/>
        </w:rPr>
        <w:t>Supplementary Figure S</w:t>
      </w:r>
      <w:r w:rsidRPr="00C67003">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Pr>
          <w:rFonts w:ascii="Times New Roman" w:hAnsi="Times New Roman" w:cs="Times New Roman"/>
          <w:b/>
          <w:bCs/>
          <w:i w:val="0"/>
          <w:iCs w:val="0"/>
          <w:color w:val="auto"/>
          <w:sz w:val="24"/>
          <w:szCs w:val="24"/>
        </w:rPr>
        <w:fldChar w:fldCharType="end"/>
      </w:r>
      <w:bookmarkEnd w:id="7"/>
      <w:r>
        <w:rPr>
          <w:rFonts w:ascii="Times New Roman" w:hAnsi="Times New Roman" w:cs="Times New Roman"/>
          <w:i w:val="0"/>
          <w:iCs w:val="0"/>
          <w:color w:val="auto"/>
          <w:sz w:val="24"/>
          <w:szCs w:val="24"/>
        </w:rPr>
        <w:t xml:space="preserve">. Country masks used to calculate emissions of ammonia over different European countries, namely </w:t>
      </w:r>
      <w:r w:rsidRPr="00EB653C">
        <w:rPr>
          <w:rFonts w:ascii="Times New Roman" w:hAnsi="Times New Roman" w:cs="Times New Roman"/>
          <w:i w:val="0"/>
          <w:iCs w:val="0"/>
          <w:color w:val="auto"/>
          <w:sz w:val="24"/>
          <w:szCs w:val="24"/>
        </w:rPr>
        <w:t>Austria, Belgium, Denmark, Finland, France, Germany, Greece, Iceland, Ireland, Italy, Luxembourg, Netherlands, Norway, Portugal, Spain, Sweden, Switzerland, Turkey, United Kingdom</w:t>
      </w:r>
      <w:r>
        <w:rPr>
          <w:rFonts w:ascii="Times New Roman" w:hAnsi="Times New Roman" w:cs="Times New Roman"/>
          <w:i w:val="0"/>
          <w:iCs w:val="0"/>
          <w:color w:val="auto"/>
          <w:sz w:val="24"/>
          <w:szCs w:val="24"/>
        </w:rPr>
        <w:t xml:space="preserve">, </w:t>
      </w:r>
      <w:r w:rsidRPr="00567C98">
        <w:rPr>
          <w:rFonts w:ascii="Times New Roman" w:hAnsi="Times New Roman" w:cs="Times New Roman"/>
          <w:i w:val="0"/>
          <w:iCs w:val="0"/>
          <w:color w:val="auto"/>
          <w:sz w:val="24"/>
          <w:szCs w:val="24"/>
        </w:rPr>
        <w:t>Albania, Belarus, Bosnia and Herzegovina, Bulgaria, Croatia, Cyprus, Czech</w:t>
      </w:r>
      <w:r>
        <w:rPr>
          <w:rFonts w:ascii="Times New Roman" w:hAnsi="Times New Roman" w:cs="Times New Roman"/>
          <w:i w:val="0"/>
          <w:iCs w:val="0"/>
          <w:color w:val="auto"/>
          <w:sz w:val="24"/>
          <w:szCs w:val="24"/>
        </w:rPr>
        <w:t>ia</w:t>
      </w:r>
      <w:r w:rsidRPr="00567C98">
        <w:rPr>
          <w:rFonts w:ascii="Times New Roman" w:hAnsi="Times New Roman" w:cs="Times New Roman"/>
          <w:i w:val="0"/>
          <w:iCs w:val="0"/>
          <w:color w:val="auto"/>
          <w:sz w:val="24"/>
          <w:szCs w:val="24"/>
        </w:rPr>
        <w:t xml:space="preserve">, Estonia, Hungary, Latvia, Lithuania, Malta, Poland, Republic of Moldova, Romania, Slovakia, Slovenia, </w:t>
      </w:r>
      <w:r>
        <w:rPr>
          <w:rFonts w:ascii="Times New Roman" w:hAnsi="Times New Roman" w:cs="Times New Roman"/>
          <w:i w:val="0"/>
          <w:iCs w:val="0"/>
          <w:color w:val="auto"/>
          <w:sz w:val="24"/>
          <w:szCs w:val="24"/>
        </w:rPr>
        <w:t>North</w:t>
      </w:r>
      <w:r w:rsidRPr="00567C98">
        <w:rPr>
          <w:rFonts w:ascii="Times New Roman" w:hAnsi="Times New Roman" w:cs="Times New Roman"/>
          <w:i w:val="0"/>
          <w:iCs w:val="0"/>
          <w:color w:val="auto"/>
          <w:sz w:val="24"/>
          <w:szCs w:val="24"/>
        </w:rPr>
        <w:t xml:space="preserve"> Macedonia, Ukraine, </w:t>
      </w:r>
      <w:r>
        <w:rPr>
          <w:rFonts w:ascii="Times New Roman" w:hAnsi="Times New Roman" w:cs="Times New Roman"/>
          <w:i w:val="0"/>
          <w:iCs w:val="0"/>
          <w:color w:val="auto"/>
          <w:sz w:val="24"/>
          <w:szCs w:val="24"/>
        </w:rPr>
        <w:t>Serbia (Russian Federation was excluded from the study).</w:t>
      </w:r>
    </w:p>
    <w:p w14:paraId="4DB79E2B" w14:textId="4C18B7BA" w:rsidR="0069187E" w:rsidRDefault="0069187E">
      <w:pPr>
        <w:rPr>
          <w:rFonts w:ascii="Times New Roman" w:hAnsi="Times New Roman" w:cs="Times New Roman"/>
          <w:b/>
          <w:bCs/>
          <w:sz w:val="24"/>
        </w:rPr>
      </w:pPr>
      <w:r>
        <w:rPr>
          <w:rFonts w:ascii="Times New Roman" w:hAnsi="Times New Roman" w:cs="Times New Roman"/>
          <w:b/>
          <w:bCs/>
          <w:sz w:val="24"/>
        </w:rPr>
        <w:br w:type="page"/>
      </w:r>
    </w:p>
    <w:p w14:paraId="6B4D3AA0" w14:textId="787E94EF" w:rsidR="006D160E" w:rsidRPr="00A57BAE" w:rsidRDefault="0069187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2B2497BA" wp14:editId="50184DED">
            <wp:extent cx="5580380" cy="46501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0380" cy="4650105"/>
                    </a:xfrm>
                    <a:prstGeom prst="rect">
                      <a:avLst/>
                    </a:prstGeom>
                  </pic:spPr>
                </pic:pic>
              </a:graphicData>
            </a:graphic>
          </wp:inline>
        </w:drawing>
      </w:r>
    </w:p>
    <w:p w14:paraId="183BBB34" w14:textId="77777777" w:rsidR="006D160E" w:rsidRDefault="006D160E" w:rsidP="006D160E">
      <w:pPr>
        <w:pStyle w:val="Caption"/>
      </w:pPr>
      <w:bookmarkStart w:id="8" w:name="_Ref105142754"/>
      <w:r>
        <w:rPr>
          <w:rFonts w:ascii="Times New Roman" w:hAnsi="Times New Roman" w:cs="Times New Roman"/>
          <w:b/>
          <w:bCs/>
          <w:i w:val="0"/>
          <w:iCs w:val="0"/>
          <w:color w:val="auto"/>
          <w:sz w:val="24"/>
          <w:szCs w:val="24"/>
        </w:rPr>
        <w:t>Supplementary Figure S</w:t>
      </w:r>
      <w:r w:rsidRPr="00C67003">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Pr>
          <w:rFonts w:ascii="Times New Roman" w:hAnsi="Times New Roman" w:cs="Times New Roman"/>
          <w:b/>
          <w:bCs/>
          <w:i w:val="0"/>
          <w:iCs w:val="0"/>
          <w:color w:val="auto"/>
          <w:sz w:val="24"/>
          <w:szCs w:val="24"/>
        </w:rPr>
        <w:fldChar w:fldCharType="end"/>
      </w:r>
      <w:bookmarkEnd w:id="8"/>
      <w:r w:rsidRPr="0014262C">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7F3D8F">
        <w:rPr>
          <w:rFonts w:ascii="Times New Roman" w:hAnsi="Times New Roman" w:cs="Times New Roman"/>
          <w:i w:val="0"/>
          <w:iCs w:val="0"/>
          <w:color w:val="auto"/>
          <w:sz w:val="24"/>
          <w:szCs w:val="24"/>
        </w:rPr>
        <w:t xml:space="preserve">a) </w:t>
      </w:r>
      <w:r>
        <w:rPr>
          <w:rFonts w:ascii="Times New Roman" w:hAnsi="Times New Roman" w:cs="Times New Roman"/>
          <w:i w:val="0"/>
          <w:iCs w:val="0"/>
          <w:color w:val="auto"/>
          <w:sz w:val="24"/>
          <w:szCs w:val="24"/>
        </w:rPr>
        <w:t>Difference of posterior from prior emissions of ammonia during the European lockdowns of 2020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The results were calculated from inversions using a priori emissions from EC6G4. (b) Posterior emission a</w:t>
      </w:r>
      <w:r w:rsidRPr="00001AF4">
        <w:rPr>
          <w:rFonts w:ascii="Times New Roman" w:hAnsi="Times New Roman" w:cs="Times New Roman"/>
          <w:i w:val="0"/>
          <w:iCs w:val="0"/>
          <w:color w:val="auto"/>
          <w:sz w:val="24"/>
          <w:szCs w:val="24"/>
        </w:rPr>
        <w:t>nomal</w:t>
      </w:r>
      <w:r>
        <w:rPr>
          <w:rFonts w:ascii="Times New Roman" w:hAnsi="Times New Roman" w:cs="Times New Roman"/>
          <w:i w:val="0"/>
          <w:iCs w:val="0"/>
          <w:color w:val="auto"/>
          <w:sz w:val="24"/>
          <w:szCs w:val="24"/>
        </w:rPr>
        <w:t>ies of ammonia</w:t>
      </w:r>
      <w:r w:rsidRPr="00001AF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during the</w:t>
      </w:r>
      <w:r w:rsidRPr="00001AF4">
        <w:rPr>
          <w:rFonts w:ascii="Times New Roman" w:hAnsi="Times New Roman" w:cs="Times New Roman"/>
          <w:i w:val="0"/>
          <w:iCs w:val="0"/>
          <w:color w:val="auto"/>
          <w:sz w:val="24"/>
          <w:szCs w:val="24"/>
        </w:rPr>
        <w:t xml:space="preserve"> 2020</w:t>
      </w:r>
      <w:r>
        <w:rPr>
          <w:rFonts w:ascii="Times New Roman" w:hAnsi="Times New Roman" w:cs="Times New Roman"/>
          <w:i w:val="0"/>
          <w:iCs w:val="0"/>
          <w:color w:val="auto"/>
          <w:sz w:val="24"/>
          <w:szCs w:val="24"/>
        </w:rPr>
        <w:t xml:space="preserve"> lockdowns</w:t>
      </w:r>
      <w:r w:rsidRPr="00001AF4">
        <w:rPr>
          <w:rFonts w:ascii="Times New Roman" w:hAnsi="Times New Roman" w:cs="Times New Roman"/>
          <w:i w:val="0"/>
          <w:iCs w:val="0"/>
          <w:color w:val="auto"/>
          <w:sz w:val="24"/>
          <w:szCs w:val="24"/>
        </w:rPr>
        <w:t xml:space="preserve"> against </w:t>
      </w:r>
      <w:r>
        <w:rPr>
          <w:rFonts w:ascii="Times New Roman" w:hAnsi="Times New Roman" w:cs="Times New Roman"/>
          <w:i w:val="0"/>
          <w:iCs w:val="0"/>
          <w:color w:val="auto"/>
          <w:sz w:val="24"/>
          <w:szCs w:val="24"/>
        </w:rPr>
        <w:t xml:space="preserve">the </w:t>
      </w:r>
      <w:r w:rsidRPr="00001AF4">
        <w:rPr>
          <w:rFonts w:ascii="Times New Roman" w:hAnsi="Times New Roman" w:cs="Times New Roman"/>
          <w:i w:val="0"/>
          <w:iCs w:val="0"/>
          <w:color w:val="auto"/>
          <w:sz w:val="24"/>
          <w:szCs w:val="24"/>
        </w:rPr>
        <w:t xml:space="preserve">2016-2019 </w:t>
      </w:r>
      <w:r>
        <w:rPr>
          <w:rFonts w:ascii="Times New Roman" w:hAnsi="Times New Roman" w:cs="Times New Roman"/>
          <w:i w:val="0"/>
          <w:iCs w:val="0"/>
          <w:color w:val="auto"/>
          <w:sz w:val="24"/>
          <w:szCs w:val="24"/>
        </w:rPr>
        <w:t>period</w:t>
      </w:r>
      <w:r w:rsidRPr="00001AF4">
        <w:rPr>
          <w:rFonts w:ascii="Times New Roman" w:hAnsi="Times New Roman" w:cs="Times New Roman"/>
          <w:i w:val="0"/>
          <w:iCs w:val="0"/>
          <w:color w:val="auto"/>
          <w:sz w:val="24"/>
          <w:szCs w:val="24"/>
        </w:rPr>
        <w:t xml:space="preserve"> (for the lockdown period)</w:t>
      </w:r>
      <w:r>
        <w:rPr>
          <w:rFonts w:ascii="Times New Roman" w:hAnsi="Times New Roman" w:cs="Times New Roman"/>
          <w:i w:val="0"/>
          <w:iCs w:val="0"/>
          <w:color w:val="auto"/>
          <w:sz w:val="24"/>
          <w:szCs w:val="24"/>
        </w:rPr>
        <w:t xml:space="preserve"> over Europe computed from posterior emissions from inversions using a priori emissions from EC6G4. Difference in ammonia emissions (c) during the 2020 lockdowns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xml:space="preserve">, Lock) from the period before (1 January – </w:t>
      </w:r>
      <w:r w:rsidRPr="006F63D4">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4</w:t>
      </w:r>
      <w:r w:rsidRPr="006F63D4">
        <w:rPr>
          <w:rFonts w:ascii="Times New Roman" w:hAnsi="Times New Roman" w:cs="Times New Roman"/>
          <w:i w:val="0"/>
          <w:iCs w:val="0"/>
          <w:color w:val="auto"/>
          <w:sz w:val="24"/>
          <w:szCs w:val="24"/>
        </w:rPr>
        <w:t xml:space="preserve"> March</w:t>
      </w:r>
      <w:r>
        <w:rPr>
          <w:rFonts w:ascii="Times New Roman" w:hAnsi="Times New Roman" w:cs="Times New Roman"/>
          <w:i w:val="0"/>
          <w:iCs w:val="0"/>
          <w:color w:val="auto"/>
          <w:sz w:val="24"/>
          <w:szCs w:val="24"/>
        </w:rPr>
        <w:t>) and (d) after the 2020 lockdowns (1 May – 31 June, Reb) from the period during the 2020 lockdowns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Lock) using EC6G4 as the prior inventory.</w:t>
      </w:r>
    </w:p>
    <w:p w14:paraId="46897CBA" w14:textId="4F7263E6" w:rsidR="0069187E" w:rsidRDefault="0069187E">
      <w:pPr>
        <w:rPr>
          <w:rFonts w:ascii="Times New Roman" w:hAnsi="Times New Roman" w:cs="Times New Roman"/>
          <w:b/>
          <w:bCs/>
          <w:sz w:val="24"/>
        </w:rPr>
      </w:pPr>
      <w:r>
        <w:rPr>
          <w:rFonts w:ascii="Times New Roman" w:hAnsi="Times New Roman" w:cs="Times New Roman"/>
          <w:b/>
          <w:bCs/>
          <w:sz w:val="24"/>
        </w:rPr>
        <w:br w:type="page"/>
      </w:r>
    </w:p>
    <w:p w14:paraId="726F507C" w14:textId="32D6BBCA" w:rsidR="006D160E" w:rsidRPr="00A57BAE" w:rsidRDefault="0069187E" w:rsidP="006D160E">
      <w:pPr>
        <w:spacing w:after="0" w:line="24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72EF00CF" wp14:editId="6E96D649">
            <wp:extent cx="5580380" cy="46501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4650105"/>
                    </a:xfrm>
                    <a:prstGeom prst="rect">
                      <a:avLst/>
                    </a:prstGeom>
                  </pic:spPr>
                </pic:pic>
              </a:graphicData>
            </a:graphic>
          </wp:inline>
        </w:drawing>
      </w:r>
    </w:p>
    <w:p w14:paraId="2382C64F" w14:textId="77777777" w:rsidR="006D160E" w:rsidRPr="00A57BAE" w:rsidRDefault="006D160E" w:rsidP="006D160E">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Supplementary Figure S</w:t>
      </w:r>
      <w:r w:rsidRPr="00C67003">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Supplementary_Figure_S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11</w:t>
      </w:r>
      <w:r>
        <w:rPr>
          <w:rFonts w:ascii="Times New Roman" w:hAnsi="Times New Roman" w:cs="Times New Roman"/>
          <w:b/>
          <w:bCs/>
          <w:i w:val="0"/>
          <w:iCs w:val="0"/>
          <w:color w:val="auto"/>
          <w:sz w:val="24"/>
          <w:szCs w:val="24"/>
        </w:rPr>
        <w:fldChar w:fldCharType="end"/>
      </w:r>
      <w:r w:rsidRPr="0014262C">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7F3D8F">
        <w:rPr>
          <w:rFonts w:ascii="Times New Roman" w:hAnsi="Times New Roman" w:cs="Times New Roman"/>
          <w:i w:val="0"/>
          <w:iCs w:val="0"/>
          <w:color w:val="auto"/>
          <w:sz w:val="24"/>
          <w:szCs w:val="24"/>
        </w:rPr>
        <w:t xml:space="preserve">a) </w:t>
      </w:r>
      <w:r>
        <w:rPr>
          <w:rFonts w:ascii="Times New Roman" w:hAnsi="Times New Roman" w:cs="Times New Roman"/>
          <w:i w:val="0"/>
          <w:iCs w:val="0"/>
          <w:color w:val="auto"/>
          <w:sz w:val="24"/>
          <w:szCs w:val="24"/>
        </w:rPr>
        <w:t>Difference of posterior from prior emissions of ammonia during the European lockdowns of 2020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The results were calculated from inversions using a priori emissions from EC6G4. (b) Posterior emission a</w:t>
      </w:r>
      <w:r w:rsidRPr="00001AF4">
        <w:rPr>
          <w:rFonts w:ascii="Times New Roman" w:hAnsi="Times New Roman" w:cs="Times New Roman"/>
          <w:i w:val="0"/>
          <w:iCs w:val="0"/>
          <w:color w:val="auto"/>
          <w:sz w:val="24"/>
          <w:szCs w:val="24"/>
        </w:rPr>
        <w:t>nomal</w:t>
      </w:r>
      <w:r>
        <w:rPr>
          <w:rFonts w:ascii="Times New Roman" w:hAnsi="Times New Roman" w:cs="Times New Roman"/>
          <w:i w:val="0"/>
          <w:iCs w:val="0"/>
          <w:color w:val="auto"/>
          <w:sz w:val="24"/>
          <w:szCs w:val="24"/>
        </w:rPr>
        <w:t>ies of ammonia</w:t>
      </w:r>
      <w:r w:rsidRPr="00001AF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during the</w:t>
      </w:r>
      <w:r w:rsidRPr="00001AF4">
        <w:rPr>
          <w:rFonts w:ascii="Times New Roman" w:hAnsi="Times New Roman" w:cs="Times New Roman"/>
          <w:i w:val="0"/>
          <w:iCs w:val="0"/>
          <w:color w:val="auto"/>
          <w:sz w:val="24"/>
          <w:szCs w:val="24"/>
        </w:rPr>
        <w:t xml:space="preserve"> 2020</w:t>
      </w:r>
      <w:r>
        <w:rPr>
          <w:rFonts w:ascii="Times New Roman" w:hAnsi="Times New Roman" w:cs="Times New Roman"/>
          <w:i w:val="0"/>
          <w:iCs w:val="0"/>
          <w:color w:val="auto"/>
          <w:sz w:val="24"/>
          <w:szCs w:val="24"/>
        </w:rPr>
        <w:t xml:space="preserve"> lockdowns</w:t>
      </w:r>
      <w:r w:rsidRPr="00001AF4">
        <w:rPr>
          <w:rFonts w:ascii="Times New Roman" w:hAnsi="Times New Roman" w:cs="Times New Roman"/>
          <w:i w:val="0"/>
          <w:iCs w:val="0"/>
          <w:color w:val="auto"/>
          <w:sz w:val="24"/>
          <w:szCs w:val="24"/>
        </w:rPr>
        <w:t xml:space="preserve"> against </w:t>
      </w:r>
      <w:r>
        <w:rPr>
          <w:rFonts w:ascii="Times New Roman" w:hAnsi="Times New Roman" w:cs="Times New Roman"/>
          <w:i w:val="0"/>
          <w:iCs w:val="0"/>
          <w:color w:val="auto"/>
          <w:sz w:val="24"/>
          <w:szCs w:val="24"/>
        </w:rPr>
        <w:t xml:space="preserve">the </w:t>
      </w:r>
      <w:r w:rsidRPr="00001AF4">
        <w:rPr>
          <w:rFonts w:ascii="Times New Roman" w:hAnsi="Times New Roman" w:cs="Times New Roman"/>
          <w:i w:val="0"/>
          <w:iCs w:val="0"/>
          <w:color w:val="auto"/>
          <w:sz w:val="24"/>
          <w:szCs w:val="24"/>
        </w:rPr>
        <w:t xml:space="preserve">2016-2019 </w:t>
      </w:r>
      <w:r>
        <w:rPr>
          <w:rFonts w:ascii="Times New Roman" w:hAnsi="Times New Roman" w:cs="Times New Roman"/>
          <w:i w:val="0"/>
          <w:iCs w:val="0"/>
          <w:color w:val="auto"/>
          <w:sz w:val="24"/>
          <w:szCs w:val="24"/>
        </w:rPr>
        <w:t>period</w:t>
      </w:r>
      <w:r w:rsidRPr="00001AF4">
        <w:rPr>
          <w:rFonts w:ascii="Times New Roman" w:hAnsi="Times New Roman" w:cs="Times New Roman"/>
          <w:i w:val="0"/>
          <w:iCs w:val="0"/>
          <w:color w:val="auto"/>
          <w:sz w:val="24"/>
          <w:szCs w:val="24"/>
        </w:rPr>
        <w:t xml:space="preserve"> (for the lockdown period)</w:t>
      </w:r>
      <w:r>
        <w:rPr>
          <w:rFonts w:ascii="Times New Roman" w:hAnsi="Times New Roman" w:cs="Times New Roman"/>
          <w:i w:val="0"/>
          <w:iCs w:val="0"/>
          <w:color w:val="auto"/>
          <w:sz w:val="24"/>
          <w:szCs w:val="24"/>
        </w:rPr>
        <w:t xml:space="preserve"> over Europe computed from posterior emissions from inversions using a priori emissions from EC6G4. Difference in ammonia emissions (c) during the 2020 lockdowns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xml:space="preserve">, Lock) from the period before (1 January – </w:t>
      </w:r>
      <w:r w:rsidRPr="006F63D4">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4</w:t>
      </w:r>
      <w:r w:rsidRPr="006F63D4">
        <w:rPr>
          <w:rFonts w:ascii="Times New Roman" w:hAnsi="Times New Roman" w:cs="Times New Roman"/>
          <w:i w:val="0"/>
          <w:iCs w:val="0"/>
          <w:color w:val="auto"/>
          <w:sz w:val="24"/>
          <w:szCs w:val="24"/>
        </w:rPr>
        <w:t xml:space="preserve"> March</w:t>
      </w:r>
      <w:r>
        <w:rPr>
          <w:rFonts w:ascii="Times New Roman" w:hAnsi="Times New Roman" w:cs="Times New Roman"/>
          <w:i w:val="0"/>
          <w:iCs w:val="0"/>
          <w:color w:val="auto"/>
          <w:sz w:val="24"/>
          <w:szCs w:val="24"/>
        </w:rPr>
        <w:t>) and (d) after the 2020 lockdowns (1 May – 31 June, Reb) from the period during the 2020 lockdowns (</w:t>
      </w:r>
      <w:r w:rsidRPr="006F63D4">
        <w:rPr>
          <w:rFonts w:ascii="Times New Roman" w:hAnsi="Times New Roman" w:cs="Times New Roman"/>
          <w:i w:val="0"/>
          <w:iCs w:val="0"/>
          <w:color w:val="auto"/>
          <w:sz w:val="24"/>
          <w:szCs w:val="24"/>
        </w:rPr>
        <w:t>15 March – 30 April</w:t>
      </w:r>
      <w:r>
        <w:rPr>
          <w:rFonts w:ascii="Times New Roman" w:hAnsi="Times New Roman" w:cs="Times New Roman"/>
          <w:i w:val="0"/>
          <w:iCs w:val="0"/>
          <w:color w:val="auto"/>
          <w:sz w:val="24"/>
          <w:szCs w:val="24"/>
        </w:rPr>
        <w:t>, Lock) using VD as the prior inventory.</w:t>
      </w:r>
    </w:p>
    <w:p w14:paraId="0DB6340C" w14:textId="77777777" w:rsidR="00B41175" w:rsidRPr="000174CF" w:rsidRDefault="00B41175">
      <w:pPr>
        <w:rPr>
          <w:rFonts w:ascii="Times New Roman" w:hAnsi="Times New Roman" w:cs="Times New Roman"/>
          <w:b/>
          <w:bCs/>
          <w:sz w:val="28"/>
          <w:szCs w:val="28"/>
          <w:lang w:val="en-US"/>
        </w:rPr>
      </w:pPr>
    </w:p>
    <w:p w14:paraId="302ABDFD" w14:textId="77777777" w:rsidR="00936A04" w:rsidRDefault="00936A0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63D19FF" w14:textId="60566C0C" w:rsidR="00734E0E" w:rsidRPr="00D34D72" w:rsidRDefault="00936A04" w:rsidP="00734E0E">
      <w:pPr>
        <w:jc w:val="both"/>
        <w:rPr>
          <w:rFonts w:ascii="Times New Roman" w:eastAsia="Times New Roman" w:hAnsi="Times New Roman" w:cs="Times New Roman"/>
          <w:b/>
          <w:bCs/>
          <w:sz w:val="24"/>
          <w:szCs w:val="24"/>
          <w:lang w:val="en-US" w:eastAsia="ru-RU"/>
        </w:rPr>
      </w:pPr>
      <w:r w:rsidRPr="00D34D72">
        <w:rPr>
          <w:rFonts w:ascii="Times New Roman" w:eastAsia="Times New Roman" w:hAnsi="Times New Roman" w:cs="Times New Roman"/>
          <w:b/>
          <w:bCs/>
          <w:sz w:val="24"/>
          <w:szCs w:val="24"/>
          <w:lang w:val="en-US" w:eastAsia="ru-RU"/>
        </w:rPr>
        <w:lastRenderedPageBreak/>
        <w:t>References</w:t>
      </w:r>
    </w:p>
    <w:p w14:paraId="31F1557A" w14:textId="2C925AA5" w:rsidR="006D160E" w:rsidRPr="006D160E" w:rsidRDefault="00D34D72" w:rsidP="006D160E">
      <w:pPr>
        <w:widowControl w:val="0"/>
        <w:autoSpaceDE w:val="0"/>
        <w:autoSpaceDN w:val="0"/>
        <w:adjustRightInd w:val="0"/>
        <w:spacing w:line="240" w:lineRule="auto"/>
        <w:ind w:left="640" w:hanging="640"/>
        <w:rPr>
          <w:rFonts w:ascii="Times New Roman" w:hAnsi="Times New Roman" w:cs="Times New Roman"/>
          <w:noProof/>
          <w:sz w:val="24"/>
          <w:lang w:val="en-GB"/>
        </w:rPr>
      </w:pPr>
      <w:r>
        <w:rPr>
          <w:rFonts w:ascii="Times New Roman" w:eastAsia="Times New Roman" w:hAnsi="Times New Roman" w:cs="Times New Roman"/>
          <w:sz w:val="24"/>
          <w:szCs w:val="24"/>
          <w:lang w:val="en-US" w:eastAsia="ru-RU"/>
        </w:rPr>
        <w:fldChar w:fldCharType="begin" w:fldLock="1"/>
      </w:r>
      <w:r>
        <w:rPr>
          <w:rFonts w:ascii="Times New Roman" w:eastAsia="Times New Roman" w:hAnsi="Times New Roman" w:cs="Times New Roman"/>
          <w:sz w:val="24"/>
          <w:szCs w:val="24"/>
          <w:lang w:val="en-US" w:eastAsia="ru-RU"/>
        </w:rPr>
        <w:instrText xml:space="preserve">ADDIN Mendeley Bibliography CSL_BIBLIOGRAPHY </w:instrText>
      </w:r>
      <w:r>
        <w:rPr>
          <w:rFonts w:ascii="Times New Roman" w:eastAsia="Times New Roman" w:hAnsi="Times New Roman" w:cs="Times New Roman"/>
          <w:sz w:val="24"/>
          <w:szCs w:val="24"/>
          <w:lang w:val="en-US" w:eastAsia="ru-RU"/>
        </w:rPr>
        <w:fldChar w:fldCharType="separate"/>
      </w:r>
      <w:r w:rsidR="006D160E" w:rsidRPr="006D160E">
        <w:rPr>
          <w:rFonts w:ascii="Times New Roman" w:hAnsi="Times New Roman" w:cs="Times New Roman"/>
          <w:noProof/>
          <w:sz w:val="24"/>
          <w:lang w:val="en-GB"/>
        </w:rPr>
        <w:t>1.</w:t>
      </w:r>
      <w:r w:rsidR="006D160E" w:rsidRPr="006D160E">
        <w:rPr>
          <w:rFonts w:ascii="Times New Roman" w:hAnsi="Times New Roman" w:cs="Times New Roman"/>
          <w:noProof/>
          <w:sz w:val="24"/>
          <w:lang w:val="en-GB"/>
        </w:rPr>
        <w:tab/>
        <w:t xml:space="preserve">Bouwman, A. F. </w:t>
      </w:r>
      <w:r w:rsidR="006D160E" w:rsidRPr="006D160E">
        <w:rPr>
          <w:rFonts w:ascii="Times New Roman" w:hAnsi="Times New Roman" w:cs="Times New Roman"/>
          <w:i/>
          <w:iCs/>
          <w:noProof/>
          <w:sz w:val="24"/>
          <w:lang w:val="en-GB"/>
        </w:rPr>
        <w:t>et al.</w:t>
      </w:r>
      <w:r w:rsidR="006D160E" w:rsidRPr="006D160E">
        <w:rPr>
          <w:rFonts w:ascii="Times New Roman" w:hAnsi="Times New Roman" w:cs="Times New Roman"/>
          <w:noProof/>
          <w:sz w:val="24"/>
          <w:lang w:val="en-GB"/>
        </w:rPr>
        <w:t xml:space="preserve"> A global high-resolution emission inventory for ammonia. </w:t>
      </w:r>
      <w:r w:rsidR="006D160E" w:rsidRPr="006D160E">
        <w:rPr>
          <w:rFonts w:ascii="Times New Roman" w:hAnsi="Times New Roman" w:cs="Times New Roman"/>
          <w:i/>
          <w:iCs/>
          <w:noProof/>
          <w:sz w:val="24"/>
          <w:lang w:val="en-GB"/>
        </w:rPr>
        <w:t>Global Biogeochem. Cycles</w:t>
      </w:r>
      <w:r w:rsidR="006D160E" w:rsidRPr="006D160E">
        <w:rPr>
          <w:rFonts w:ascii="Times New Roman" w:hAnsi="Times New Roman" w:cs="Times New Roman"/>
          <w:noProof/>
          <w:sz w:val="24"/>
          <w:lang w:val="en-GB"/>
        </w:rPr>
        <w:t xml:space="preserve"> </w:t>
      </w:r>
      <w:r w:rsidR="006D160E" w:rsidRPr="006D160E">
        <w:rPr>
          <w:rFonts w:ascii="Times New Roman" w:hAnsi="Times New Roman" w:cs="Times New Roman"/>
          <w:b/>
          <w:bCs/>
          <w:noProof/>
          <w:sz w:val="24"/>
          <w:lang w:val="en-GB"/>
        </w:rPr>
        <w:t>11</w:t>
      </w:r>
      <w:r w:rsidR="006D160E" w:rsidRPr="006D160E">
        <w:rPr>
          <w:rFonts w:ascii="Times New Roman" w:hAnsi="Times New Roman" w:cs="Times New Roman"/>
          <w:noProof/>
          <w:sz w:val="24"/>
          <w:lang w:val="en-GB"/>
        </w:rPr>
        <w:t>, 561–587 (1997).</w:t>
      </w:r>
    </w:p>
    <w:p w14:paraId="1268F41A" w14:textId="77777777" w:rsidR="006D160E" w:rsidRPr="006D160E" w:rsidRDefault="006D160E" w:rsidP="006D160E">
      <w:pPr>
        <w:widowControl w:val="0"/>
        <w:autoSpaceDE w:val="0"/>
        <w:autoSpaceDN w:val="0"/>
        <w:adjustRightInd w:val="0"/>
        <w:spacing w:line="240" w:lineRule="auto"/>
        <w:ind w:left="640" w:hanging="640"/>
        <w:rPr>
          <w:rFonts w:ascii="Times New Roman" w:hAnsi="Times New Roman" w:cs="Times New Roman"/>
          <w:noProof/>
          <w:sz w:val="24"/>
          <w:lang w:val="en-GB"/>
        </w:rPr>
      </w:pPr>
      <w:r w:rsidRPr="006D160E">
        <w:rPr>
          <w:rFonts w:ascii="Times New Roman" w:hAnsi="Times New Roman" w:cs="Times New Roman"/>
          <w:noProof/>
          <w:sz w:val="24"/>
          <w:lang w:val="en-GB"/>
        </w:rPr>
        <w:t>2.</w:t>
      </w:r>
      <w:r w:rsidRPr="006D160E">
        <w:rPr>
          <w:rFonts w:ascii="Times New Roman" w:hAnsi="Times New Roman" w:cs="Times New Roman"/>
          <w:noProof/>
          <w:sz w:val="24"/>
          <w:lang w:val="en-GB"/>
        </w:rPr>
        <w:tab/>
        <w:t xml:space="preserve">Klimont, Z. </w:t>
      </w:r>
      <w:r w:rsidRPr="006D160E">
        <w:rPr>
          <w:rFonts w:ascii="Times New Roman" w:hAnsi="Times New Roman" w:cs="Times New Roman"/>
          <w:i/>
          <w:iCs/>
          <w:noProof/>
          <w:sz w:val="24"/>
          <w:lang w:val="en-GB"/>
        </w:rPr>
        <w:t>et al.</w:t>
      </w:r>
      <w:r w:rsidRPr="006D160E">
        <w:rPr>
          <w:rFonts w:ascii="Times New Roman" w:hAnsi="Times New Roman" w:cs="Times New Roman"/>
          <w:noProof/>
          <w:sz w:val="24"/>
          <w:lang w:val="en-GB"/>
        </w:rPr>
        <w:t xml:space="preserve"> Global anthropogenic emissions of particulate matter including black carbon. </w:t>
      </w:r>
      <w:r w:rsidRPr="006D160E">
        <w:rPr>
          <w:rFonts w:ascii="Times New Roman" w:hAnsi="Times New Roman" w:cs="Times New Roman"/>
          <w:i/>
          <w:iCs/>
          <w:noProof/>
          <w:sz w:val="24"/>
          <w:lang w:val="en-GB"/>
        </w:rPr>
        <w:t>Atmos. Chem. Phys.</w:t>
      </w:r>
      <w:r w:rsidRPr="006D160E">
        <w:rPr>
          <w:rFonts w:ascii="Times New Roman" w:hAnsi="Times New Roman" w:cs="Times New Roman"/>
          <w:noProof/>
          <w:sz w:val="24"/>
          <w:lang w:val="en-GB"/>
        </w:rPr>
        <w:t xml:space="preserve"> </w:t>
      </w:r>
      <w:r w:rsidRPr="006D160E">
        <w:rPr>
          <w:rFonts w:ascii="Times New Roman" w:hAnsi="Times New Roman" w:cs="Times New Roman"/>
          <w:b/>
          <w:bCs/>
          <w:noProof/>
          <w:sz w:val="24"/>
          <w:lang w:val="en-GB"/>
        </w:rPr>
        <w:t>17</w:t>
      </w:r>
      <w:r w:rsidRPr="006D160E">
        <w:rPr>
          <w:rFonts w:ascii="Times New Roman" w:hAnsi="Times New Roman" w:cs="Times New Roman"/>
          <w:noProof/>
          <w:sz w:val="24"/>
          <w:lang w:val="en-GB"/>
        </w:rPr>
        <w:t>, 8681–8723 (2017).</w:t>
      </w:r>
    </w:p>
    <w:p w14:paraId="5F69478F" w14:textId="77777777" w:rsidR="006D160E" w:rsidRPr="006D160E" w:rsidRDefault="006D160E" w:rsidP="006D160E">
      <w:pPr>
        <w:widowControl w:val="0"/>
        <w:autoSpaceDE w:val="0"/>
        <w:autoSpaceDN w:val="0"/>
        <w:adjustRightInd w:val="0"/>
        <w:spacing w:line="240" w:lineRule="auto"/>
        <w:ind w:left="640" w:hanging="640"/>
        <w:rPr>
          <w:rFonts w:ascii="Times New Roman" w:hAnsi="Times New Roman" w:cs="Times New Roman"/>
          <w:noProof/>
          <w:sz w:val="24"/>
        </w:rPr>
      </w:pPr>
      <w:r w:rsidRPr="006D160E">
        <w:rPr>
          <w:rFonts w:ascii="Times New Roman" w:hAnsi="Times New Roman" w:cs="Times New Roman"/>
          <w:noProof/>
          <w:sz w:val="24"/>
          <w:lang w:val="en-GB"/>
        </w:rPr>
        <w:t>3.</w:t>
      </w:r>
      <w:r w:rsidRPr="006D160E">
        <w:rPr>
          <w:rFonts w:ascii="Times New Roman" w:hAnsi="Times New Roman" w:cs="Times New Roman"/>
          <w:noProof/>
          <w:sz w:val="24"/>
          <w:lang w:val="en-GB"/>
        </w:rPr>
        <w:tab/>
        <w:t xml:space="preserve">Giglio, L., Randerson, J. T. &amp; van der Werf, G. R. Analysis of daily, monthly, and annual burned area using the fourth-generation global fire emissions database (GFED4). </w:t>
      </w:r>
      <w:r w:rsidRPr="006D160E">
        <w:rPr>
          <w:rFonts w:ascii="Times New Roman" w:hAnsi="Times New Roman" w:cs="Times New Roman"/>
          <w:i/>
          <w:iCs/>
          <w:noProof/>
          <w:sz w:val="24"/>
          <w:lang w:val="en-GB"/>
        </w:rPr>
        <w:t>J. Geophys. Res.  Biogeosciences</w:t>
      </w:r>
      <w:r w:rsidRPr="006D160E">
        <w:rPr>
          <w:rFonts w:ascii="Times New Roman" w:hAnsi="Times New Roman" w:cs="Times New Roman"/>
          <w:noProof/>
          <w:sz w:val="24"/>
          <w:lang w:val="en-GB"/>
        </w:rPr>
        <w:t xml:space="preserve"> </w:t>
      </w:r>
      <w:r w:rsidRPr="006D160E">
        <w:rPr>
          <w:rFonts w:ascii="Times New Roman" w:hAnsi="Times New Roman" w:cs="Times New Roman"/>
          <w:b/>
          <w:bCs/>
          <w:noProof/>
          <w:sz w:val="24"/>
          <w:lang w:val="en-GB"/>
        </w:rPr>
        <w:t>118</w:t>
      </w:r>
      <w:r w:rsidRPr="006D160E">
        <w:rPr>
          <w:rFonts w:ascii="Times New Roman" w:hAnsi="Times New Roman" w:cs="Times New Roman"/>
          <w:noProof/>
          <w:sz w:val="24"/>
          <w:lang w:val="en-GB"/>
        </w:rPr>
        <w:t>, 317–328 (2013).</w:t>
      </w:r>
    </w:p>
    <w:p w14:paraId="6E7BE977" w14:textId="64EB290A" w:rsidR="00936A04" w:rsidRPr="00734E0E" w:rsidRDefault="00D34D72" w:rsidP="006D160E">
      <w:pPr>
        <w:widowControl w:val="0"/>
        <w:autoSpaceDE w:val="0"/>
        <w:autoSpaceDN w:val="0"/>
        <w:adjustRightInd w:val="0"/>
        <w:spacing w:line="240" w:lineRule="auto"/>
        <w:ind w:left="640" w:hanging="64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fldChar w:fldCharType="end"/>
      </w:r>
    </w:p>
    <w:sectPr w:rsidR="00936A04" w:rsidRPr="00734E0E" w:rsidSect="007C0F9F">
      <w:pgSz w:w="11906" w:h="16838"/>
      <w:pgMar w:top="709" w:right="1558" w:bottom="141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F0EFC"/>
    <w:multiLevelType w:val="hybridMultilevel"/>
    <w:tmpl w:val="2ED28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783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56"/>
    <w:rsid w:val="00007389"/>
    <w:rsid w:val="00011691"/>
    <w:rsid w:val="000174CF"/>
    <w:rsid w:val="00040502"/>
    <w:rsid w:val="00041160"/>
    <w:rsid w:val="00046C8F"/>
    <w:rsid w:val="00053891"/>
    <w:rsid w:val="000612B7"/>
    <w:rsid w:val="0006500D"/>
    <w:rsid w:val="0006615F"/>
    <w:rsid w:val="000737D3"/>
    <w:rsid w:val="000905A2"/>
    <w:rsid w:val="000A7378"/>
    <w:rsid w:val="000C3EC5"/>
    <w:rsid w:val="000C464A"/>
    <w:rsid w:val="000C4C64"/>
    <w:rsid w:val="000C6994"/>
    <w:rsid w:val="000D2920"/>
    <w:rsid w:val="000E7FA3"/>
    <w:rsid w:val="000F6CDF"/>
    <w:rsid w:val="001008AD"/>
    <w:rsid w:val="0010738A"/>
    <w:rsid w:val="00114110"/>
    <w:rsid w:val="00115343"/>
    <w:rsid w:val="00115F33"/>
    <w:rsid w:val="00123428"/>
    <w:rsid w:val="001271CC"/>
    <w:rsid w:val="00164E34"/>
    <w:rsid w:val="001752F4"/>
    <w:rsid w:val="00193D0B"/>
    <w:rsid w:val="001960C5"/>
    <w:rsid w:val="001A33AC"/>
    <w:rsid w:val="001B29AD"/>
    <w:rsid w:val="001B47BB"/>
    <w:rsid w:val="001C08E3"/>
    <w:rsid w:val="002000C6"/>
    <w:rsid w:val="00212DFA"/>
    <w:rsid w:val="00226072"/>
    <w:rsid w:val="002319E8"/>
    <w:rsid w:val="00233911"/>
    <w:rsid w:val="00250FEF"/>
    <w:rsid w:val="00253091"/>
    <w:rsid w:val="00256BA0"/>
    <w:rsid w:val="00277F36"/>
    <w:rsid w:val="002815AE"/>
    <w:rsid w:val="00286596"/>
    <w:rsid w:val="00293382"/>
    <w:rsid w:val="002B03A7"/>
    <w:rsid w:val="002B4F63"/>
    <w:rsid w:val="002C186D"/>
    <w:rsid w:val="002C539B"/>
    <w:rsid w:val="002D26E8"/>
    <w:rsid w:val="002E4271"/>
    <w:rsid w:val="003019B1"/>
    <w:rsid w:val="00302A02"/>
    <w:rsid w:val="003248DD"/>
    <w:rsid w:val="00325C48"/>
    <w:rsid w:val="003265B3"/>
    <w:rsid w:val="0034063B"/>
    <w:rsid w:val="0035293C"/>
    <w:rsid w:val="00356F8C"/>
    <w:rsid w:val="00363EB6"/>
    <w:rsid w:val="0037034D"/>
    <w:rsid w:val="00370B7C"/>
    <w:rsid w:val="00375616"/>
    <w:rsid w:val="00375862"/>
    <w:rsid w:val="00391F67"/>
    <w:rsid w:val="003937D9"/>
    <w:rsid w:val="00395116"/>
    <w:rsid w:val="003A6816"/>
    <w:rsid w:val="003C0DC3"/>
    <w:rsid w:val="003C4D07"/>
    <w:rsid w:val="003E0D20"/>
    <w:rsid w:val="00401CBC"/>
    <w:rsid w:val="00416036"/>
    <w:rsid w:val="004318ED"/>
    <w:rsid w:val="00444789"/>
    <w:rsid w:val="004640FB"/>
    <w:rsid w:val="00465CA0"/>
    <w:rsid w:val="004C615D"/>
    <w:rsid w:val="004C7E6C"/>
    <w:rsid w:val="00514356"/>
    <w:rsid w:val="005267B5"/>
    <w:rsid w:val="005378BF"/>
    <w:rsid w:val="005B0DF7"/>
    <w:rsid w:val="005C0E58"/>
    <w:rsid w:val="005D07E7"/>
    <w:rsid w:val="005E026B"/>
    <w:rsid w:val="005F107E"/>
    <w:rsid w:val="005F5800"/>
    <w:rsid w:val="005F58BD"/>
    <w:rsid w:val="00602B2E"/>
    <w:rsid w:val="00610175"/>
    <w:rsid w:val="006126B0"/>
    <w:rsid w:val="00613AEE"/>
    <w:rsid w:val="00630D30"/>
    <w:rsid w:val="00636590"/>
    <w:rsid w:val="00636C26"/>
    <w:rsid w:val="00656026"/>
    <w:rsid w:val="006567F8"/>
    <w:rsid w:val="006646FC"/>
    <w:rsid w:val="0069187E"/>
    <w:rsid w:val="006A2888"/>
    <w:rsid w:val="006C10E4"/>
    <w:rsid w:val="006C1F96"/>
    <w:rsid w:val="006D160E"/>
    <w:rsid w:val="006F4CA3"/>
    <w:rsid w:val="00734E0E"/>
    <w:rsid w:val="00753ED1"/>
    <w:rsid w:val="0076081A"/>
    <w:rsid w:val="0076196F"/>
    <w:rsid w:val="007744BF"/>
    <w:rsid w:val="0078032A"/>
    <w:rsid w:val="007B76C8"/>
    <w:rsid w:val="007C0F9F"/>
    <w:rsid w:val="007C287F"/>
    <w:rsid w:val="007C5D27"/>
    <w:rsid w:val="007E2B77"/>
    <w:rsid w:val="007E66D4"/>
    <w:rsid w:val="007E6A02"/>
    <w:rsid w:val="00807F12"/>
    <w:rsid w:val="00810897"/>
    <w:rsid w:val="00813651"/>
    <w:rsid w:val="008205F9"/>
    <w:rsid w:val="00821250"/>
    <w:rsid w:val="008357CC"/>
    <w:rsid w:val="00843587"/>
    <w:rsid w:val="0084777B"/>
    <w:rsid w:val="00850ECB"/>
    <w:rsid w:val="00863027"/>
    <w:rsid w:val="00863B1B"/>
    <w:rsid w:val="0088620E"/>
    <w:rsid w:val="0089479C"/>
    <w:rsid w:val="00895E50"/>
    <w:rsid w:val="00897F57"/>
    <w:rsid w:val="008A20D7"/>
    <w:rsid w:val="008B23B1"/>
    <w:rsid w:val="008C3227"/>
    <w:rsid w:val="008C6906"/>
    <w:rsid w:val="008E400B"/>
    <w:rsid w:val="00906CB6"/>
    <w:rsid w:val="00927A42"/>
    <w:rsid w:val="00936A04"/>
    <w:rsid w:val="00950C02"/>
    <w:rsid w:val="00964E97"/>
    <w:rsid w:val="009973A9"/>
    <w:rsid w:val="009A5015"/>
    <w:rsid w:val="009C6F67"/>
    <w:rsid w:val="009D43A6"/>
    <w:rsid w:val="00A023CB"/>
    <w:rsid w:val="00A14D35"/>
    <w:rsid w:val="00A20371"/>
    <w:rsid w:val="00A300C4"/>
    <w:rsid w:val="00A305DA"/>
    <w:rsid w:val="00A43B6C"/>
    <w:rsid w:val="00A45C95"/>
    <w:rsid w:val="00A51551"/>
    <w:rsid w:val="00A55AAC"/>
    <w:rsid w:val="00A71DA3"/>
    <w:rsid w:val="00A7278D"/>
    <w:rsid w:val="00A77A88"/>
    <w:rsid w:val="00A8446C"/>
    <w:rsid w:val="00AB0048"/>
    <w:rsid w:val="00AB5878"/>
    <w:rsid w:val="00AB7153"/>
    <w:rsid w:val="00AD0668"/>
    <w:rsid w:val="00AD2BAD"/>
    <w:rsid w:val="00AD64C3"/>
    <w:rsid w:val="00AE5D13"/>
    <w:rsid w:val="00AF483E"/>
    <w:rsid w:val="00B00A44"/>
    <w:rsid w:val="00B040FF"/>
    <w:rsid w:val="00B200F7"/>
    <w:rsid w:val="00B21373"/>
    <w:rsid w:val="00B22C4B"/>
    <w:rsid w:val="00B310D8"/>
    <w:rsid w:val="00B3548E"/>
    <w:rsid w:val="00B36D74"/>
    <w:rsid w:val="00B41175"/>
    <w:rsid w:val="00B443FC"/>
    <w:rsid w:val="00B50E51"/>
    <w:rsid w:val="00B54B42"/>
    <w:rsid w:val="00B616D3"/>
    <w:rsid w:val="00B91B95"/>
    <w:rsid w:val="00B91CB6"/>
    <w:rsid w:val="00BA0C58"/>
    <w:rsid w:val="00BA4F4F"/>
    <w:rsid w:val="00BB550E"/>
    <w:rsid w:val="00BB6F7A"/>
    <w:rsid w:val="00BB768F"/>
    <w:rsid w:val="00BC3C40"/>
    <w:rsid w:val="00BD000A"/>
    <w:rsid w:val="00BD2AFB"/>
    <w:rsid w:val="00BD539D"/>
    <w:rsid w:val="00BF3C9A"/>
    <w:rsid w:val="00BF7637"/>
    <w:rsid w:val="00C0763C"/>
    <w:rsid w:val="00C10878"/>
    <w:rsid w:val="00C165F5"/>
    <w:rsid w:val="00C218DF"/>
    <w:rsid w:val="00C21CBF"/>
    <w:rsid w:val="00C22DC1"/>
    <w:rsid w:val="00C322D3"/>
    <w:rsid w:val="00C56AC4"/>
    <w:rsid w:val="00CA24F1"/>
    <w:rsid w:val="00CA26BD"/>
    <w:rsid w:val="00CB2049"/>
    <w:rsid w:val="00CB2932"/>
    <w:rsid w:val="00CB5FE9"/>
    <w:rsid w:val="00CC1076"/>
    <w:rsid w:val="00CC4CB3"/>
    <w:rsid w:val="00CD2DA1"/>
    <w:rsid w:val="00CD338B"/>
    <w:rsid w:val="00CE36AF"/>
    <w:rsid w:val="00CF190A"/>
    <w:rsid w:val="00D00507"/>
    <w:rsid w:val="00D00BFB"/>
    <w:rsid w:val="00D05667"/>
    <w:rsid w:val="00D07944"/>
    <w:rsid w:val="00D166BD"/>
    <w:rsid w:val="00D2745C"/>
    <w:rsid w:val="00D3155B"/>
    <w:rsid w:val="00D34D72"/>
    <w:rsid w:val="00D41540"/>
    <w:rsid w:val="00D4346C"/>
    <w:rsid w:val="00D45D04"/>
    <w:rsid w:val="00D46B79"/>
    <w:rsid w:val="00D52EA0"/>
    <w:rsid w:val="00D64313"/>
    <w:rsid w:val="00D80D21"/>
    <w:rsid w:val="00D823D3"/>
    <w:rsid w:val="00D90697"/>
    <w:rsid w:val="00D9652C"/>
    <w:rsid w:val="00DA788E"/>
    <w:rsid w:val="00DB3E57"/>
    <w:rsid w:val="00DB6B8B"/>
    <w:rsid w:val="00DB7CBA"/>
    <w:rsid w:val="00DD102A"/>
    <w:rsid w:val="00DF035C"/>
    <w:rsid w:val="00E00BAA"/>
    <w:rsid w:val="00E277DB"/>
    <w:rsid w:val="00E32156"/>
    <w:rsid w:val="00E36295"/>
    <w:rsid w:val="00E6664C"/>
    <w:rsid w:val="00E74E35"/>
    <w:rsid w:val="00E81C80"/>
    <w:rsid w:val="00EA0FA4"/>
    <w:rsid w:val="00EA6FD9"/>
    <w:rsid w:val="00EB2040"/>
    <w:rsid w:val="00EC053D"/>
    <w:rsid w:val="00EC58A0"/>
    <w:rsid w:val="00EE5DED"/>
    <w:rsid w:val="00EE7963"/>
    <w:rsid w:val="00EF1688"/>
    <w:rsid w:val="00F00DBC"/>
    <w:rsid w:val="00F03FC0"/>
    <w:rsid w:val="00F13F24"/>
    <w:rsid w:val="00F159B6"/>
    <w:rsid w:val="00F216F2"/>
    <w:rsid w:val="00F40778"/>
    <w:rsid w:val="00F51F9C"/>
    <w:rsid w:val="00F612B9"/>
    <w:rsid w:val="00F64F03"/>
    <w:rsid w:val="00F75B75"/>
    <w:rsid w:val="00F87689"/>
    <w:rsid w:val="00F900C2"/>
    <w:rsid w:val="00F97177"/>
    <w:rsid w:val="00FD422F"/>
    <w:rsid w:val="00FD5455"/>
    <w:rsid w:val="00FD73A7"/>
    <w:rsid w:val="00FF0EB5"/>
    <w:rsid w:val="00FF7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E21BB"/>
  <w15:docId w15:val="{1EC4E201-8EDD-4CEB-BF1E-0ECA4CC0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174CF"/>
    <w:pPr>
      <w:spacing w:before="100" w:beforeAutospacing="1" w:after="100" w:afterAutospacing="1" w:line="240" w:lineRule="auto"/>
      <w:outlineLvl w:val="1"/>
    </w:pPr>
    <w:rPr>
      <w:rFonts w:ascii="Times New Roman" w:eastAsia="Times New Roman" w:hAnsi="Times New Roman" w:cs="Times New Roman"/>
      <w:b/>
      <w:bCs/>
      <w:sz w:val="36"/>
      <w:szCs w:val="36"/>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B8B"/>
    <w:pPr>
      <w:spacing w:after="160" w:line="259" w:lineRule="auto"/>
      <w:ind w:left="720"/>
      <w:contextualSpacing/>
    </w:pPr>
  </w:style>
  <w:style w:type="paragraph" w:customStyle="1" w:styleId="228bf8a64b8551e1msonormal">
    <w:name w:val="228bf8a64b8551e1msonormal"/>
    <w:basedOn w:val="Normal"/>
    <w:rsid w:val="00DB6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39"/>
    <w:rsid w:val="0063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64313"/>
    <w:rPr>
      <w:i/>
      <w:iCs/>
      <w:color w:val="404040" w:themeColor="text1" w:themeTint="BF"/>
    </w:rPr>
  </w:style>
  <w:style w:type="character" w:styleId="CommentReference">
    <w:name w:val="annotation reference"/>
    <w:basedOn w:val="DefaultParagraphFont"/>
    <w:uiPriority w:val="99"/>
    <w:semiHidden/>
    <w:unhideWhenUsed/>
    <w:rsid w:val="00F03FC0"/>
    <w:rPr>
      <w:sz w:val="16"/>
      <w:szCs w:val="16"/>
    </w:rPr>
  </w:style>
  <w:style w:type="paragraph" w:styleId="CommentText">
    <w:name w:val="annotation text"/>
    <w:basedOn w:val="Normal"/>
    <w:link w:val="CommentTextChar"/>
    <w:uiPriority w:val="99"/>
    <w:semiHidden/>
    <w:unhideWhenUsed/>
    <w:rsid w:val="00F03FC0"/>
    <w:pPr>
      <w:spacing w:line="240" w:lineRule="auto"/>
    </w:pPr>
    <w:rPr>
      <w:sz w:val="20"/>
      <w:szCs w:val="20"/>
    </w:rPr>
  </w:style>
  <w:style w:type="character" w:customStyle="1" w:styleId="CommentTextChar">
    <w:name w:val="Comment Text Char"/>
    <w:basedOn w:val="DefaultParagraphFont"/>
    <w:link w:val="CommentText"/>
    <w:uiPriority w:val="99"/>
    <w:semiHidden/>
    <w:rsid w:val="00F03FC0"/>
    <w:rPr>
      <w:sz w:val="20"/>
      <w:szCs w:val="20"/>
    </w:rPr>
  </w:style>
  <w:style w:type="paragraph" w:styleId="CommentSubject">
    <w:name w:val="annotation subject"/>
    <w:basedOn w:val="CommentText"/>
    <w:next w:val="CommentText"/>
    <w:link w:val="CommentSubjectChar"/>
    <w:uiPriority w:val="99"/>
    <w:semiHidden/>
    <w:unhideWhenUsed/>
    <w:rsid w:val="00F03FC0"/>
    <w:rPr>
      <w:b/>
      <w:bCs/>
    </w:rPr>
  </w:style>
  <w:style w:type="character" w:customStyle="1" w:styleId="CommentSubjectChar">
    <w:name w:val="Comment Subject Char"/>
    <w:basedOn w:val="CommentTextChar"/>
    <w:link w:val="CommentSubject"/>
    <w:uiPriority w:val="99"/>
    <w:semiHidden/>
    <w:rsid w:val="00F03FC0"/>
    <w:rPr>
      <w:b/>
      <w:bCs/>
      <w:sz w:val="20"/>
      <w:szCs w:val="20"/>
    </w:rPr>
  </w:style>
  <w:style w:type="paragraph" w:styleId="BalloonText">
    <w:name w:val="Balloon Text"/>
    <w:basedOn w:val="Normal"/>
    <w:link w:val="BalloonTextChar"/>
    <w:uiPriority w:val="99"/>
    <w:semiHidden/>
    <w:unhideWhenUsed/>
    <w:rsid w:val="00F03F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FC0"/>
    <w:rPr>
      <w:rFonts w:ascii="Segoe UI" w:hAnsi="Segoe UI" w:cs="Segoe UI"/>
      <w:sz w:val="18"/>
      <w:szCs w:val="18"/>
    </w:rPr>
  </w:style>
  <w:style w:type="character" w:styleId="Hyperlink">
    <w:name w:val="Hyperlink"/>
    <w:basedOn w:val="DefaultParagraphFont"/>
    <w:uiPriority w:val="99"/>
    <w:unhideWhenUsed/>
    <w:rsid w:val="00753ED1"/>
    <w:rPr>
      <w:color w:val="0000FF" w:themeColor="hyperlink"/>
      <w:u w:val="single"/>
    </w:rPr>
  </w:style>
  <w:style w:type="paragraph" w:styleId="NormalWeb">
    <w:name w:val="Normal (Web)"/>
    <w:basedOn w:val="Normal"/>
    <w:uiPriority w:val="99"/>
    <w:unhideWhenUsed/>
    <w:rsid w:val="00753ED1"/>
    <w:pPr>
      <w:spacing w:before="100" w:beforeAutospacing="1" w:after="100" w:afterAutospacing="1" w:line="240" w:lineRule="auto"/>
    </w:pPr>
    <w:rPr>
      <w:rFonts w:ascii="Times New Roman" w:eastAsiaTheme="minorEastAsia" w:hAnsi="Times New Roman" w:cs="Times New Roman"/>
      <w:sz w:val="20"/>
      <w:szCs w:val="20"/>
      <w:lang w:val="en-US"/>
    </w:rPr>
  </w:style>
  <w:style w:type="character" w:customStyle="1" w:styleId="Heading2Char">
    <w:name w:val="Heading 2 Char"/>
    <w:basedOn w:val="DefaultParagraphFont"/>
    <w:link w:val="Heading2"/>
    <w:uiPriority w:val="9"/>
    <w:rsid w:val="000174CF"/>
    <w:rPr>
      <w:rFonts w:ascii="Times New Roman" w:eastAsia="Times New Roman" w:hAnsi="Times New Roman" w:cs="Times New Roman"/>
      <w:b/>
      <w:bCs/>
      <w:sz w:val="36"/>
      <w:szCs w:val="36"/>
      <w:lang w:val="en-US" w:eastAsia="ru-RU"/>
    </w:rPr>
  </w:style>
  <w:style w:type="paragraph" w:styleId="Caption">
    <w:name w:val="caption"/>
    <w:basedOn w:val="Normal"/>
    <w:next w:val="Normal"/>
    <w:uiPriority w:val="35"/>
    <w:unhideWhenUsed/>
    <w:qFormat/>
    <w:rsid w:val="00A71DA3"/>
    <w:pPr>
      <w:spacing w:line="240" w:lineRule="auto"/>
    </w:pPr>
    <w:rPr>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863530">
      <w:bodyDiv w:val="1"/>
      <w:marLeft w:val="0"/>
      <w:marRight w:val="0"/>
      <w:marTop w:val="0"/>
      <w:marBottom w:val="0"/>
      <w:divBdr>
        <w:top w:val="none" w:sz="0" w:space="0" w:color="auto"/>
        <w:left w:val="none" w:sz="0" w:space="0" w:color="auto"/>
        <w:bottom w:val="none" w:sz="0" w:space="0" w:color="auto"/>
        <w:right w:val="none" w:sz="0" w:space="0" w:color="auto"/>
      </w:divBdr>
    </w:div>
    <w:div w:id="622542522">
      <w:bodyDiv w:val="1"/>
      <w:marLeft w:val="0"/>
      <w:marRight w:val="0"/>
      <w:marTop w:val="0"/>
      <w:marBottom w:val="0"/>
      <w:divBdr>
        <w:top w:val="none" w:sz="0" w:space="0" w:color="auto"/>
        <w:left w:val="none" w:sz="0" w:space="0" w:color="auto"/>
        <w:bottom w:val="none" w:sz="0" w:space="0" w:color="auto"/>
        <w:right w:val="none" w:sz="0" w:space="0" w:color="auto"/>
      </w:divBdr>
    </w:div>
    <w:div w:id="914781388">
      <w:bodyDiv w:val="1"/>
      <w:marLeft w:val="0"/>
      <w:marRight w:val="0"/>
      <w:marTop w:val="0"/>
      <w:marBottom w:val="0"/>
      <w:divBdr>
        <w:top w:val="none" w:sz="0" w:space="0" w:color="auto"/>
        <w:left w:val="none" w:sz="0" w:space="0" w:color="auto"/>
        <w:bottom w:val="none" w:sz="0" w:space="0" w:color="auto"/>
        <w:right w:val="none" w:sz="0" w:space="0" w:color="auto"/>
      </w:divBdr>
    </w:div>
    <w:div w:id="1088118337">
      <w:bodyDiv w:val="1"/>
      <w:marLeft w:val="0"/>
      <w:marRight w:val="0"/>
      <w:marTop w:val="0"/>
      <w:marBottom w:val="0"/>
      <w:divBdr>
        <w:top w:val="none" w:sz="0" w:space="0" w:color="auto"/>
        <w:left w:val="none" w:sz="0" w:space="0" w:color="auto"/>
        <w:bottom w:val="none" w:sz="0" w:space="0" w:color="auto"/>
        <w:right w:val="none" w:sz="0" w:space="0" w:color="auto"/>
      </w:divBdr>
    </w:div>
    <w:div w:id="1144618300">
      <w:bodyDiv w:val="1"/>
      <w:marLeft w:val="0"/>
      <w:marRight w:val="0"/>
      <w:marTop w:val="0"/>
      <w:marBottom w:val="0"/>
      <w:divBdr>
        <w:top w:val="none" w:sz="0" w:space="0" w:color="auto"/>
        <w:left w:val="none" w:sz="0" w:space="0" w:color="auto"/>
        <w:bottom w:val="none" w:sz="0" w:space="0" w:color="auto"/>
        <w:right w:val="none" w:sz="0" w:space="0" w:color="auto"/>
      </w:divBdr>
    </w:div>
    <w:div w:id="1306353136">
      <w:bodyDiv w:val="1"/>
      <w:marLeft w:val="0"/>
      <w:marRight w:val="0"/>
      <w:marTop w:val="0"/>
      <w:marBottom w:val="0"/>
      <w:divBdr>
        <w:top w:val="none" w:sz="0" w:space="0" w:color="auto"/>
        <w:left w:val="none" w:sz="0" w:space="0" w:color="auto"/>
        <w:bottom w:val="none" w:sz="0" w:space="0" w:color="auto"/>
        <w:right w:val="none" w:sz="0" w:space="0" w:color="auto"/>
      </w:divBdr>
    </w:div>
    <w:div w:id="1369530623">
      <w:bodyDiv w:val="1"/>
      <w:marLeft w:val="0"/>
      <w:marRight w:val="0"/>
      <w:marTop w:val="0"/>
      <w:marBottom w:val="0"/>
      <w:divBdr>
        <w:top w:val="none" w:sz="0" w:space="0" w:color="auto"/>
        <w:left w:val="none" w:sz="0" w:space="0" w:color="auto"/>
        <w:bottom w:val="none" w:sz="0" w:space="0" w:color="auto"/>
        <w:right w:val="none" w:sz="0" w:space="0" w:color="auto"/>
      </w:divBdr>
      <w:divsChild>
        <w:div w:id="3868324">
          <w:marLeft w:val="0"/>
          <w:marRight w:val="0"/>
          <w:marTop w:val="0"/>
          <w:marBottom w:val="0"/>
          <w:divBdr>
            <w:top w:val="none" w:sz="0" w:space="0" w:color="auto"/>
            <w:left w:val="none" w:sz="0" w:space="0" w:color="auto"/>
            <w:bottom w:val="none" w:sz="0" w:space="0" w:color="auto"/>
            <w:right w:val="none" w:sz="0" w:space="0" w:color="auto"/>
          </w:divBdr>
          <w:divsChild>
            <w:div w:id="672689009">
              <w:marLeft w:val="0"/>
              <w:marRight w:val="0"/>
              <w:marTop w:val="0"/>
              <w:marBottom w:val="0"/>
              <w:divBdr>
                <w:top w:val="none" w:sz="0" w:space="0" w:color="auto"/>
                <w:left w:val="none" w:sz="0" w:space="0" w:color="auto"/>
                <w:bottom w:val="none" w:sz="0" w:space="0" w:color="auto"/>
                <w:right w:val="none" w:sz="0" w:space="0" w:color="auto"/>
              </w:divBdr>
              <w:divsChild>
                <w:div w:id="9761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1586">
      <w:bodyDiv w:val="1"/>
      <w:marLeft w:val="0"/>
      <w:marRight w:val="0"/>
      <w:marTop w:val="0"/>
      <w:marBottom w:val="0"/>
      <w:divBdr>
        <w:top w:val="none" w:sz="0" w:space="0" w:color="auto"/>
        <w:left w:val="none" w:sz="0" w:space="0" w:color="auto"/>
        <w:bottom w:val="none" w:sz="0" w:space="0" w:color="auto"/>
        <w:right w:val="none" w:sz="0" w:space="0" w:color="auto"/>
      </w:divBdr>
      <w:divsChild>
        <w:div w:id="190845472">
          <w:marLeft w:val="0"/>
          <w:marRight w:val="0"/>
          <w:marTop w:val="0"/>
          <w:marBottom w:val="0"/>
          <w:divBdr>
            <w:top w:val="none" w:sz="0" w:space="0" w:color="auto"/>
            <w:left w:val="none" w:sz="0" w:space="0" w:color="auto"/>
            <w:bottom w:val="none" w:sz="0" w:space="0" w:color="auto"/>
            <w:right w:val="none" w:sz="0" w:space="0" w:color="auto"/>
          </w:divBdr>
          <w:divsChild>
            <w:div w:id="2034069158">
              <w:marLeft w:val="0"/>
              <w:marRight w:val="0"/>
              <w:marTop w:val="0"/>
              <w:marBottom w:val="0"/>
              <w:divBdr>
                <w:top w:val="none" w:sz="0" w:space="0" w:color="auto"/>
                <w:left w:val="none" w:sz="0" w:space="0" w:color="auto"/>
                <w:bottom w:val="none" w:sz="0" w:space="0" w:color="auto"/>
                <w:right w:val="none" w:sz="0" w:space="0" w:color="auto"/>
              </w:divBdr>
              <w:divsChild>
                <w:div w:id="15346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11114">
      <w:bodyDiv w:val="1"/>
      <w:marLeft w:val="0"/>
      <w:marRight w:val="0"/>
      <w:marTop w:val="0"/>
      <w:marBottom w:val="0"/>
      <w:divBdr>
        <w:top w:val="none" w:sz="0" w:space="0" w:color="auto"/>
        <w:left w:val="none" w:sz="0" w:space="0" w:color="auto"/>
        <w:bottom w:val="none" w:sz="0" w:space="0" w:color="auto"/>
        <w:right w:val="none" w:sz="0" w:space="0" w:color="auto"/>
      </w:divBdr>
    </w:div>
    <w:div w:id="1621456941">
      <w:bodyDiv w:val="1"/>
      <w:marLeft w:val="0"/>
      <w:marRight w:val="0"/>
      <w:marTop w:val="0"/>
      <w:marBottom w:val="0"/>
      <w:divBdr>
        <w:top w:val="none" w:sz="0" w:space="0" w:color="auto"/>
        <w:left w:val="none" w:sz="0" w:space="0" w:color="auto"/>
        <w:bottom w:val="none" w:sz="0" w:space="0" w:color="auto"/>
        <w:right w:val="none" w:sz="0" w:space="0" w:color="auto"/>
      </w:divBdr>
    </w:div>
    <w:div w:id="1750541038">
      <w:bodyDiv w:val="1"/>
      <w:marLeft w:val="0"/>
      <w:marRight w:val="0"/>
      <w:marTop w:val="0"/>
      <w:marBottom w:val="0"/>
      <w:divBdr>
        <w:top w:val="none" w:sz="0" w:space="0" w:color="auto"/>
        <w:left w:val="none" w:sz="0" w:space="0" w:color="auto"/>
        <w:bottom w:val="none" w:sz="0" w:space="0" w:color="auto"/>
        <w:right w:val="none" w:sz="0" w:space="0" w:color="auto"/>
      </w:divBdr>
      <w:divsChild>
        <w:div w:id="455872139">
          <w:marLeft w:val="0"/>
          <w:marRight w:val="0"/>
          <w:marTop w:val="0"/>
          <w:marBottom w:val="0"/>
          <w:divBdr>
            <w:top w:val="none" w:sz="0" w:space="0" w:color="auto"/>
            <w:left w:val="none" w:sz="0" w:space="0" w:color="auto"/>
            <w:bottom w:val="none" w:sz="0" w:space="0" w:color="auto"/>
            <w:right w:val="none" w:sz="0" w:space="0" w:color="auto"/>
          </w:divBdr>
          <w:divsChild>
            <w:div w:id="1833905976">
              <w:marLeft w:val="0"/>
              <w:marRight w:val="0"/>
              <w:marTop w:val="0"/>
              <w:marBottom w:val="0"/>
              <w:divBdr>
                <w:top w:val="none" w:sz="0" w:space="0" w:color="auto"/>
                <w:left w:val="none" w:sz="0" w:space="0" w:color="auto"/>
                <w:bottom w:val="none" w:sz="0" w:space="0" w:color="auto"/>
                <w:right w:val="none" w:sz="0" w:space="0" w:color="auto"/>
              </w:divBdr>
              <w:divsChild>
                <w:div w:id="2273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00945">
      <w:bodyDiv w:val="1"/>
      <w:marLeft w:val="0"/>
      <w:marRight w:val="0"/>
      <w:marTop w:val="0"/>
      <w:marBottom w:val="0"/>
      <w:divBdr>
        <w:top w:val="none" w:sz="0" w:space="0" w:color="auto"/>
        <w:left w:val="none" w:sz="0" w:space="0" w:color="auto"/>
        <w:bottom w:val="none" w:sz="0" w:space="0" w:color="auto"/>
        <w:right w:val="none" w:sz="0" w:space="0" w:color="auto"/>
      </w:divBdr>
    </w:div>
    <w:div w:id="2145391993">
      <w:bodyDiv w:val="1"/>
      <w:marLeft w:val="0"/>
      <w:marRight w:val="0"/>
      <w:marTop w:val="0"/>
      <w:marBottom w:val="0"/>
      <w:divBdr>
        <w:top w:val="none" w:sz="0" w:space="0" w:color="auto"/>
        <w:left w:val="none" w:sz="0" w:space="0" w:color="auto"/>
        <w:bottom w:val="none" w:sz="0" w:space="0" w:color="auto"/>
        <w:right w:val="none" w:sz="0" w:space="0" w:color="auto"/>
      </w:divBdr>
    </w:div>
    <w:div w:id="214677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Nikolaos.Evangeliou@nilu.no"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56C27-8245-C04F-B2A9-1FFA676F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13</Pages>
  <Words>4368</Words>
  <Characters>24903</Characters>
  <Application>Microsoft Office Word</Application>
  <DocSecurity>0</DocSecurity>
  <Lines>207</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29213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popovicheva</dc:creator>
  <cp:lastModifiedBy>Nikolaos Evangeliou</cp:lastModifiedBy>
  <cp:revision>31</cp:revision>
  <dcterms:created xsi:type="dcterms:W3CDTF">2021-10-04T11:02:00Z</dcterms:created>
  <dcterms:modified xsi:type="dcterms:W3CDTF">2022-08-15T09:59:00Z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http://www.zotero.org/styles/american-institute-of-physics</vt:lpwstr>
  </property>
  <property fmtid="{D5CDD505-2E9C-101B-9397-08002B2CF9AE}" pid="3" name="Mendeley Recent Style Name 0_1">
    <vt:lpwstr>American Institute of Physics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http://www.zotero.org/styles/atmospheric-chemistry-and-physics</vt:lpwstr>
  </property>
  <property fmtid="{D5CDD505-2E9C-101B-9397-08002B2CF9AE}" pid="7" name="Mendeley Recent Style Name 2_1">
    <vt:lpwstr>Atmospheric Chemistry and Physics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http://www.zotero.org/styles/environmental-science-and-technology</vt:lpwstr>
  </property>
  <property fmtid="{D5CDD505-2E9C-101B-9397-08002B2CF9AE}" pid="15" name="Mendeley Recent Style Name 6_1">
    <vt:lpwstr>Environmental Science &amp; Technology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4ced8595-73be-313c-ae97-f5c3e6ae60a5</vt:lpwstr>
  </property>
  <property fmtid="{D5CDD505-2E9C-101B-9397-08002B2CF9AE}" pid="24" name="Mendeley Citation Style_1">
    <vt:lpwstr>http://www.zotero.org/styles/nature</vt:lpwstr>
  </property>
</Properties>
</file>