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S</w:t>
      </w:r>
      <w:r>
        <w:rPr>
          <w:rFonts w:ascii="Times New Roman" w:hAnsi="Times New Roman"/>
          <w:sz w:val="32"/>
          <w:szCs w:val="32"/>
        </w:rPr>
        <w:t>upporting Information</w:t>
      </w:r>
    </w:p>
    <w:p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T</w:t>
      </w:r>
      <w:r>
        <w:rPr>
          <w:rFonts w:hint="eastAsia" w:ascii="Times New Roman" w:hAnsi="Times New Roman"/>
          <w:sz w:val="32"/>
          <w:szCs w:val="32"/>
        </w:rPr>
        <w:t>emporal</w:t>
      </w:r>
      <w:r>
        <w:rPr>
          <w:rFonts w:ascii="Times New Roman" w:hAnsi="Times New Roman"/>
          <w:sz w:val="32"/>
          <w:szCs w:val="32"/>
        </w:rPr>
        <w:t xml:space="preserve"> and spatial distribution of functional nitrogen genes associated with thermal stratification in subtropical reservoir</w:t>
      </w:r>
    </w:p>
    <w:p>
      <w:pPr>
        <w:spacing w:line="36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bookmarkStart w:id="0" w:name="_Hlk110167558"/>
      <w:r>
        <w:rPr>
          <w:rFonts w:ascii="Times New Roman" w:hAnsi="Times New Roman"/>
          <w:sz w:val="24"/>
          <w:szCs w:val="24"/>
        </w:rPr>
        <w:t>Zhihong Yang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Ming Yang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Chuanzhu Bai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Huanan Rong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hint="eastAsia"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Y</w:t>
      </w:r>
      <w:r>
        <w:rPr>
          <w:rFonts w:hint="eastAsia"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hong Yue</w:t>
      </w:r>
      <w:r>
        <w:rPr>
          <w:rFonts w:ascii="Times New Roman" w:hAnsi="Times New Roman"/>
          <w:sz w:val="24"/>
          <w:szCs w:val="24"/>
          <w:vertAlign w:val="superscript"/>
        </w:rPr>
        <w:t>1,*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School of Environmental and Chemical Engineering, Shanghai University, Shanghai 200444, China;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Cixi Fishers Technology Extension Center, Cixi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315300, China</w:t>
      </w:r>
    </w:p>
    <w:p>
      <w:pPr>
        <w:spacing w:line="360" w:lineRule="auto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 xml:space="preserve"> Correspondence: yihongyue@shu.edu.cn (Y.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hint="eastAsia" w:ascii="Times New Roman" w:hAnsi="Times New Roman"/>
          <w:sz w:val="24"/>
          <w:szCs w:val="24"/>
        </w:rPr>
        <w:t>ue</w:t>
      </w:r>
      <w:r>
        <w:rPr>
          <w:rFonts w:ascii="Times New Roman" w:hAnsi="Times New Roman"/>
          <w:sz w:val="24"/>
          <w:szCs w:val="24"/>
        </w:rPr>
        <w:t>)</w:t>
      </w:r>
      <w:bookmarkEnd w:id="0"/>
      <w:bookmarkStart w:id="1" w:name="_GoBack"/>
      <w:bookmarkEnd w:id="1"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</w:rPr>
        <w:drawing>
          <wp:inline distT="0" distB="0" distL="0" distR="0">
            <wp:extent cx="4131945" cy="308610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" r="20563"/>
                    <a:stretch>
                      <a:fillRect/>
                    </a:stretch>
                  </pic:blipFill>
                  <pic:spPr>
                    <a:xfrm>
                      <a:off x="0" y="0"/>
                      <a:ext cx="4132601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Fig. S1</w:t>
      </w:r>
      <w:r>
        <w:rPr>
          <w:rFonts w:ascii="Times New Roman" w:hAnsi="Times New Roman"/>
        </w:rPr>
        <w:t xml:space="preserve"> The standard curve of qPCR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4481830" cy="34702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4" r="16223"/>
                    <a:stretch>
                      <a:fillRect/>
                    </a:stretch>
                  </pic:blipFill>
                  <pic:spPr>
                    <a:xfrm>
                      <a:off x="0" y="0"/>
                      <a:ext cx="4488588" cy="347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b/>
          <w:bCs/>
        </w:rPr>
        <w:t>Fig.S2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eastAsia="宋体" w:cs="Times New Roman"/>
        </w:rPr>
        <w:t>Vertical</w:t>
      </w:r>
      <w:r>
        <w:rPr>
          <w:rFonts w:ascii="Times New Roman" w:hAnsi="Times New Roman"/>
        </w:rPr>
        <w:t xml:space="preserve"> changes of the relative abundance of (a) </w:t>
      </w:r>
      <w:r>
        <w:rPr>
          <w:rFonts w:hint="eastAsia" w:ascii="Times New Roman" w:hAnsi="Times New Roman"/>
          <w:i/>
          <w:iCs/>
        </w:rPr>
        <w:t>amo</w:t>
      </w:r>
      <w:r>
        <w:rPr>
          <w:rFonts w:ascii="Times New Roman" w:hAnsi="Times New Roman"/>
          <w:i/>
          <w:iCs/>
        </w:rPr>
        <w:t xml:space="preserve">A-AOA / </w:t>
      </w:r>
      <w:r>
        <w:rPr>
          <w:rFonts w:hint="eastAsia" w:ascii="Times New Roman" w:hAnsi="Times New Roman"/>
          <w:i/>
          <w:iCs/>
        </w:rPr>
        <w:t>archaea</w:t>
      </w:r>
      <w:r>
        <w:rPr>
          <w:rFonts w:ascii="Times New Roman" w:hAnsi="Times New Roman"/>
        </w:rPr>
        <w:t>, (b)</w:t>
      </w:r>
      <w:r>
        <w:rPr>
          <w:rFonts w:hint="eastAsia" w:ascii="Times New Roman" w:hAnsi="Times New Roman"/>
          <w:i/>
          <w:iCs/>
        </w:rPr>
        <w:t>amo</w:t>
      </w:r>
      <w:r>
        <w:rPr>
          <w:rFonts w:ascii="Times New Roman" w:hAnsi="Times New Roman"/>
          <w:i/>
          <w:iCs/>
        </w:rPr>
        <w:t xml:space="preserve">A-AOB / </w:t>
      </w:r>
      <w:r>
        <w:rPr>
          <w:rFonts w:hint="eastAsia" w:ascii="Times New Roman" w:hAnsi="Times New Roman"/>
          <w:i/>
          <w:iCs/>
        </w:rPr>
        <w:t>bacteria</w:t>
      </w:r>
      <w:r>
        <w:rPr>
          <w:rFonts w:ascii="Times New Roman" w:hAnsi="Times New Roman"/>
        </w:rPr>
        <w:t xml:space="preserve">, and (c) </w:t>
      </w:r>
      <w:r>
        <w:rPr>
          <w:rFonts w:hint="eastAsia" w:ascii="Times New Roman" w:hAnsi="Times New Roman"/>
          <w:i/>
          <w:iCs/>
        </w:rPr>
        <w:t>nirS</w:t>
      </w:r>
      <w:r>
        <w:rPr>
          <w:rFonts w:ascii="Times New Roman" w:hAnsi="Times New Roman"/>
          <w:i/>
          <w:iCs/>
        </w:rPr>
        <w:t xml:space="preserve"> / </w:t>
      </w:r>
      <w:r>
        <w:rPr>
          <w:rFonts w:hint="eastAsia" w:ascii="Times New Roman" w:hAnsi="Times New Roman"/>
          <w:i/>
          <w:iCs/>
        </w:rPr>
        <w:t>bacteria</w:t>
      </w:r>
      <w:r>
        <w:rPr>
          <w:rFonts w:ascii="Times New Roman" w:hAnsi="Times New Roman"/>
        </w:rPr>
        <w:t xml:space="preserve"> at four sampling points of XAJR in April 2021, July 2021, October 2021, and January 2022 (vertical bars represent parameter values).</w:t>
      </w:r>
    </w:p>
    <w:p>
      <w:pPr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Table</w:t>
      </w:r>
      <w:r>
        <w:rPr>
          <w:rFonts w:ascii="Times New Roman" w:hAnsi="Times New Roman"/>
          <w:b/>
          <w:bCs/>
        </w:rPr>
        <w:t xml:space="preserve"> S1</w:t>
      </w:r>
      <w:r>
        <w:rPr>
          <w:rFonts w:ascii="Times New Roman" w:hAnsi="Times New Roman"/>
        </w:rPr>
        <w:t xml:space="preserve"> Primers information of bacteria and nitrogen related functional genes </w:t>
      </w:r>
    </w:p>
    <w:tbl>
      <w:tblPr>
        <w:tblStyle w:val="5"/>
        <w:tblW w:w="85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540"/>
        <w:gridCol w:w="3629"/>
        <w:gridCol w:w="20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Gene name</w:t>
            </w:r>
          </w:p>
        </w:tc>
        <w:tc>
          <w:tcPr>
            <w:tcW w:w="1540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Primers name</w:t>
            </w:r>
          </w:p>
        </w:tc>
        <w:tc>
          <w:tcPr>
            <w:tcW w:w="3629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Sequence</w:t>
            </w:r>
          </w:p>
        </w:tc>
        <w:tc>
          <w:tcPr>
            <w:tcW w:w="2091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Amplification length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  <w:t>amoA-AOB</w:t>
            </w:r>
          </w:p>
        </w:tc>
        <w:tc>
          <w:tcPr>
            <w:tcW w:w="154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amoA1F</w:t>
            </w:r>
          </w:p>
        </w:tc>
        <w:tc>
          <w:tcPr>
            <w:tcW w:w="3629" w:type="dxa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F: GGGGTTTCTACTGGTGGT</w:t>
            </w:r>
          </w:p>
        </w:tc>
        <w:tc>
          <w:tcPr>
            <w:tcW w:w="209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491bp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amoA2R</w:t>
            </w:r>
          </w:p>
        </w:tc>
        <w:tc>
          <w:tcPr>
            <w:tcW w:w="3629" w:type="dxa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R: CCCCTCKGSAAAGCCTTCTTC</w:t>
            </w:r>
          </w:p>
        </w:tc>
        <w:tc>
          <w:tcPr>
            <w:tcW w:w="2091" w:type="dxa"/>
            <w:vMerge w:val="continue"/>
            <w:vAlign w:val="center"/>
          </w:tcPr>
          <w:p>
            <w:pPr>
              <w:rPr>
                <w:rFonts w:ascii="Times New Roman" w:hAnsi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  <w:t>amoA-AOA</w:t>
            </w: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Arch-amoAF</w:t>
            </w:r>
          </w:p>
        </w:tc>
        <w:tc>
          <w:tcPr>
            <w:tcW w:w="3629" w:type="dxa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F: STAATGGTCTGGCTTAGACG</w:t>
            </w:r>
          </w:p>
        </w:tc>
        <w:tc>
          <w:tcPr>
            <w:tcW w:w="209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635bp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Arch-amoAR</w:t>
            </w:r>
          </w:p>
        </w:tc>
        <w:tc>
          <w:tcPr>
            <w:tcW w:w="3629" w:type="dxa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R: GCGGCCATCCATCTGTATGT</w:t>
            </w:r>
          </w:p>
        </w:tc>
        <w:tc>
          <w:tcPr>
            <w:tcW w:w="2091" w:type="dxa"/>
            <w:vMerge w:val="continue"/>
            <w:vAlign w:val="center"/>
          </w:tcPr>
          <w:p>
            <w:pPr>
              <w:rPr>
                <w:rFonts w:ascii="Times New Roman" w:hAnsi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  <w:t>nirS</w:t>
            </w: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cd3aF</w:t>
            </w:r>
          </w:p>
        </w:tc>
        <w:tc>
          <w:tcPr>
            <w:tcW w:w="3629" w:type="dxa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F: GTSAACGTSAAGGARACSGG</w:t>
            </w:r>
          </w:p>
        </w:tc>
        <w:tc>
          <w:tcPr>
            <w:tcW w:w="209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425bp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R3cd</w:t>
            </w:r>
          </w:p>
        </w:tc>
        <w:tc>
          <w:tcPr>
            <w:tcW w:w="3629" w:type="dxa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R: GASTTCGGRTGSGTCTTGA</w:t>
            </w:r>
          </w:p>
        </w:tc>
        <w:tc>
          <w:tcPr>
            <w:tcW w:w="2091" w:type="dxa"/>
            <w:vMerge w:val="continue"/>
            <w:vAlign w:val="center"/>
          </w:tcPr>
          <w:p>
            <w:pPr>
              <w:rPr>
                <w:rFonts w:ascii="Times New Roman" w:hAnsi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  <w:t>Bacteria 16S rRNA</w:t>
            </w: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515F</w:t>
            </w:r>
          </w:p>
        </w:tc>
        <w:tc>
          <w:tcPr>
            <w:tcW w:w="3629" w:type="dxa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F: GTGCCAGCMGCCGCGGTAA</w:t>
            </w:r>
          </w:p>
        </w:tc>
        <w:tc>
          <w:tcPr>
            <w:tcW w:w="209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291bp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806R</w:t>
            </w:r>
          </w:p>
        </w:tc>
        <w:tc>
          <w:tcPr>
            <w:tcW w:w="3629" w:type="dxa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R: GGACTACHVGGGTWTCTAAT</w:t>
            </w:r>
          </w:p>
        </w:tc>
        <w:tc>
          <w:tcPr>
            <w:tcW w:w="2091" w:type="dxa"/>
            <w:vMerge w:val="continue"/>
            <w:vAlign w:val="center"/>
          </w:tcPr>
          <w:p>
            <w:pPr>
              <w:rPr>
                <w:rFonts w:ascii="Times New Roman" w:hAnsi="Times New Roman"/>
                <w:kern w:val="0"/>
                <w:sz w:val="21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  <w:t xml:space="preserve">Archaea </w:t>
            </w:r>
          </w:p>
          <w:p>
            <w:pPr>
              <w:jc w:val="center"/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1"/>
                <w:szCs w:val="20"/>
              </w:rPr>
              <w:t>16S rRNA</w:t>
            </w:r>
          </w:p>
        </w:tc>
        <w:tc>
          <w:tcPr>
            <w:tcW w:w="1540" w:type="dxa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A364aF</w:t>
            </w:r>
          </w:p>
        </w:tc>
        <w:tc>
          <w:tcPr>
            <w:tcW w:w="3629" w:type="dxa"/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F: CGGGGYGCASCAGGCGCGAA</w:t>
            </w:r>
          </w:p>
        </w:tc>
        <w:tc>
          <w:tcPr>
            <w:tcW w:w="209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553bp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98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21"/>
                <w:szCs w:val="20"/>
              </w:rPr>
            </w:pPr>
          </w:p>
        </w:tc>
        <w:tc>
          <w:tcPr>
            <w:tcW w:w="1540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A934bR</w:t>
            </w:r>
          </w:p>
        </w:tc>
        <w:tc>
          <w:tcPr>
            <w:tcW w:w="3629" w:type="dxa"/>
            <w:tcBorders>
              <w:bottom w:val="single" w:color="auto" w:sz="8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/>
                <w:kern w:val="0"/>
                <w:sz w:val="21"/>
                <w:szCs w:val="20"/>
              </w:rPr>
              <w:t>R: GTGCTCCCCCGCCAATTCCT</w:t>
            </w:r>
          </w:p>
        </w:tc>
        <w:tc>
          <w:tcPr>
            <w:tcW w:w="2091" w:type="dxa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21"/>
                <w:szCs w:val="20"/>
              </w:rPr>
            </w:pPr>
          </w:p>
        </w:tc>
      </w:tr>
    </w:tbl>
    <w:p>
      <w:pPr>
        <w:rPr>
          <w:rFonts w:ascii="Times New Roman" w:hAnsi="Times New Roman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</w:t>
      </w:r>
      <w:r>
        <w:rPr>
          <w:rFonts w:hint="eastAsia" w:ascii="Times New Roman" w:hAnsi="Times New Roman"/>
          <w:b/>
          <w:bCs/>
        </w:rPr>
        <w:t>able</w:t>
      </w:r>
      <w:r>
        <w:rPr>
          <w:rFonts w:ascii="Times New Roman" w:hAnsi="Times New Roman"/>
          <w:b/>
          <w:bCs/>
        </w:rPr>
        <w:t xml:space="preserve"> S2</w:t>
      </w:r>
      <w:r>
        <w:rPr>
          <w:rFonts w:ascii="Times New Roman" w:hAnsi="Times New Roman"/>
        </w:rPr>
        <w:t xml:space="preserve"> P</w:t>
      </w:r>
      <w:r>
        <w:rPr>
          <w:rFonts w:hint="eastAsia" w:ascii="Times New Roman" w:hAnsi="Times New Roman"/>
        </w:rPr>
        <w:t>e</w:t>
      </w:r>
      <w:r>
        <w:rPr>
          <w:rFonts w:ascii="Times New Roman" w:hAnsi="Times New Roman"/>
        </w:rPr>
        <w:t>arson correlation analysis of DO, pH and water temperature at four sampling points (JK, XJS, STD, and DBQ) during April (2021), July (2021), October (2021) and January (2022).</w:t>
      </w:r>
    </w:p>
    <w:tbl>
      <w:tblPr>
        <w:tblStyle w:val="5"/>
        <w:tblW w:w="1376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808"/>
        <w:gridCol w:w="808"/>
        <w:gridCol w:w="330"/>
        <w:gridCol w:w="478"/>
        <w:gridCol w:w="808"/>
        <w:gridCol w:w="808"/>
        <w:gridCol w:w="659"/>
        <w:gridCol w:w="149"/>
        <w:gridCol w:w="808"/>
        <w:gridCol w:w="808"/>
        <w:gridCol w:w="808"/>
        <w:gridCol w:w="181"/>
        <w:gridCol w:w="627"/>
        <w:gridCol w:w="808"/>
        <w:gridCol w:w="808"/>
        <w:gridCol w:w="510"/>
        <w:gridCol w:w="298"/>
        <w:gridCol w:w="808"/>
        <w:gridCol w:w="808"/>
        <w:gridCol w:w="808"/>
        <w:gridCol w:w="3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767" w:type="dxa"/>
            <w:gridSpan w:val="22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Water temperature (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℃)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75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275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JK</w:t>
            </w:r>
          </w:p>
        </w:tc>
        <w:tc>
          <w:tcPr>
            <w:tcW w:w="275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XJS</w:t>
            </w:r>
          </w:p>
        </w:tc>
        <w:tc>
          <w:tcPr>
            <w:tcW w:w="275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STD</w:t>
            </w:r>
          </w:p>
        </w:tc>
        <w:tc>
          <w:tcPr>
            <w:tcW w:w="275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DBQ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468" w:hRule="atLeast"/>
          <w:jc w:val="center"/>
        </w:trPr>
        <w:tc>
          <w:tcPr>
            <w:tcW w:w="80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M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</w:rPr>
              <w:t>onth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468" w:hRule="atLeast"/>
          <w:jc w:val="center"/>
        </w:trPr>
        <w:tc>
          <w:tcPr>
            <w:tcW w:w="80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DO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0.989**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0.026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0.849**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0.628**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0.932**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0.887**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0.853**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-0.387*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0.981**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0.816**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0.861**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0.997**</w:t>
            </w:r>
          </w:p>
        </w:tc>
        <w:tc>
          <w:tcPr>
            <w:tcW w:w="8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0.895**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0.678**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0.532**</w:t>
            </w:r>
          </w:p>
        </w:tc>
        <w:tc>
          <w:tcPr>
            <w:tcW w:w="8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0.992**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468" w:hRule="atLeast"/>
          <w:jc w:val="center"/>
        </w:trPr>
        <w:tc>
          <w:tcPr>
            <w:tcW w:w="807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pH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0.998**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0.880**</w:t>
            </w:r>
          </w:p>
        </w:tc>
        <w:tc>
          <w:tcPr>
            <w:tcW w:w="808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0.766**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0.746**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0.871**</w:t>
            </w:r>
          </w:p>
        </w:tc>
        <w:tc>
          <w:tcPr>
            <w:tcW w:w="808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0.859**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0.873**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-0.440**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0.984**</w:t>
            </w:r>
          </w:p>
        </w:tc>
        <w:tc>
          <w:tcPr>
            <w:tcW w:w="808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0.787**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0.876**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0.884**</w:t>
            </w:r>
          </w:p>
        </w:tc>
        <w:tc>
          <w:tcPr>
            <w:tcW w:w="808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0.956**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0.867**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0.912**</w:t>
            </w:r>
          </w:p>
        </w:tc>
        <w:tc>
          <w:tcPr>
            <w:tcW w:w="808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0.924**</w:t>
            </w:r>
          </w:p>
        </w:tc>
      </w:tr>
    </w:tbl>
    <w:p>
      <w:pPr>
        <w:jc w:val="left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Bolded values represent significant correlations between the variables. *</w:t>
      </w:r>
      <w:r>
        <w:rPr>
          <w:rFonts w:ascii="Times New Roman" w:hAnsi="Times New Roman"/>
          <w:i/>
          <w:iCs/>
          <w:color w:val="333333"/>
        </w:rPr>
        <w:t>p</w:t>
      </w:r>
      <w:r>
        <w:rPr>
          <w:rFonts w:ascii="Times New Roman" w:hAnsi="Times New Roman"/>
          <w:color w:val="333333"/>
        </w:rPr>
        <w:t xml:space="preserve"> &lt; 0.05; **</w:t>
      </w:r>
      <w:r>
        <w:rPr>
          <w:rFonts w:ascii="Times New Roman" w:hAnsi="Times New Roman"/>
          <w:i/>
          <w:iCs/>
          <w:color w:val="333333"/>
        </w:rPr>
        <w:t>p</w:t>
      </w:r>
      <w:r>
        <w:rPr>
          <w:rFonts w:ascii="Times New Roman" w:hAnsi="Times New Roman"/>
          <w:color w:val="333333"/>
        </w:rPr>
        <w:t xml:space="preserve"> &lt; 0.01.</w:t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  <w:sectPr>
          <w:type w:val="continuous"/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 w:num="1"/>
          <w:docGrid w:type="linesAndChars" w:linePitch="312" w:charSpace="0"/>
        </w:sectPr>
      </w:pPr>
    </w:p>
    <w:p>
      <w:pPr>
        <w:spacing w:line="36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Table S3</w:t>
      </w:r>
      <w:r>
        <w:rPr>
          <w:rFonts w:ascii="Times New Roman" w:hAnsi="Times New Roman"/>
          <w:szCs w:val="21"/>
        </w:rPr>
        <w:t xml:space="preserve"> Pearson correlation analysis of </w:t>
      </w:r>
      <w:r>
        <w:rPr>
          <w:rFonts w:ascii="Times New Roman" w:hAnsi="Times New Roman"/>
          <w:i/>
          <w:iCs/>
          <w:szCs w:val="21"/>
        </w:rPr>
        <w:t>amoA-AOA</w:t>
      </w:r>
      <w:r>
        <w:rPr>
          <w:rFonts w:ascii="Times New Roman" w:hAnsi="Times New Roman"/>
          <w:szCs w:val="21"/>
        </w:rPr>
        <w:t xml:space="preserve">, </w:t>
      </w:r>
      <w:r>
        <w:rPr>
          <w:rFonts w:ascii="Times New Roman" w:hAnsi="Times New Roman"/>
          <w:i/>
          <w:iCs/>
          <w:szCs w:val="21"/>
        </w:rPr>
        <w:t>amoA-AOB</w:t>
      </w:r>
      <w:r>
        <w:rPr>
          <w:rFonts w:ascii="Times New Roman" w:hAnsi="Times New Roman"/>
          <w:szCs w:val="21"/>
        </w:rPr>
        <w:t xml:space="preserve"> and </w:t>
      </w:r>
      <w:r>
        <w:rPr>
          <w:rFonts w:hint="eastAsia" w:ascii="Times New Roman" w:hAnsi="Times New Roman"/>
          <w:i/>
          <w:iCs/>
          <w:szCs w:val="21"/>
        </w:rPr>
        <w:t>nir</w:t>
      </w:r>
      <w:r>
        <w:rPr>
          <w:rFonts w:ascii="Times New Roman" w:hAnsi="Times New Roman"/>
          <w:i/>
          <w:iCs/>
          <w:szCs w:val="21"/>
        </w:rPr>
        <w:t>S</w:t>
      </w:r>
      <w:r>
        <w:rPr>
          <w:rFonts w:ascii="Times New Roman" w:hAnsi="Times New Roman"/>
          <w:szCs w:val="21"/>
        </w:rPr>
        <w:t xml:space="preserve"> gene abundances.</w:t>
      </w:r>
    </w:p>
    <w:tbl>
      <w:tblPr>
        <w:tblStyle w:val="5"/>
        <w:tblW w:w="4919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2096"/>
        <w:gridCol w:w="2096"/>
        <w:gridCol w:w="20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50" w:type="pct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0"/>
                <w:szCs w:val="21"/>
              </w:rPr>
              <w:t>amoA-</w:t>
            </w:r>
            <w:r>
              <w:rPr>
                <w:rFonts w:hint="eastAsia" w:ascii="Times New Roman" w:hAnsi="Times New Roman"/>
                <w:i/>
                <w:iCs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OA</w:t>
            </w:r>
          </w:p>
        </w:tc>
        <w:tc>
          <w:tcPr>
            <w:tcW w:w="1250" w:type="pct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0"/>
                <w:szCs w:val="21"/>
              </w:rPr>
              <w:t>amoA-</w:t>
            </w:r>
            <w:r>
              <w:rPr>
                <w:rFonts w:hint="eastAsia" w:ascii="Times New Roman" w:hAnsi="Times New Roman"/>
                <w:i/>
                <w:iCs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OB</w:t>
            </w:r>
          </w:p>
        </w:tc>
        <w:tc>
          <w:tcPr>
            <w:tcW w:w="1250" w:type="pct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i/>
                <w:iCs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irS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5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0"/>
                <w:szCs w:val="21"/>
              </w:rPr>
              <w:t>amoA-</w:t>
            </w:r>
            <w:r>
              <w:rPr>
                <w:rFonts w:hint="eastAsia" w:ascii="Times New Roman" w:hAnsi="Times New Roman"/>
                <w:i/>
                <w:iCs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OA</w:t>
            </w:r>
          </w:p>
        </w:tc>
        <w:tc>
          <w:tcPr>
            <w:tcW w:w="125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.144**</w:t>
            </w:r>
          </w:p>
        </w:tc>
        <w:tc>
          <w:tcPr>
            <w:tcW w:w="125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0.212**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5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0"/>
                <w:szCs w:val="21"/>
              </w:rPr>
              <w:t>amoA-</w:t>
            </w:r>
            <w:r>
              <w:rPr>
                <w:rFonts w:hint="eastAsia" w:ascii="Times New Roman" w:hAnsi="Times New Roman"/>
                <w:i/>
                <w:iCs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OB</w:t>
            </w:r>
          </w:p>
        </w:tc>
        <w:tc>
          <w:tcPr>
            <w:tcW w:w="125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.144**</w:t>
            </w:r>
          </w:p>
        </w:tc>
        <w:tc>
          <w:tcPr>
            <w:tcW w:w="125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5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.472**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50" w:type="pct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i/>
                <w:iCs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irS</w:t>
            </w:r>
          </w:p>
        </w:tc>
        <w:tc>
          <w:tcPr>
            <w:tcW w:w="1250" w:type="pct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0.212**</w:t>
            </w:r>
          </w:p>
        </w:tc>
        <w:tc>
          <w:tcPr>
            <w:tcW w:w="1250" w:type="pct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.472**</w:t>
            </w:r>
          </w:p>
        </w:tc>
        <w:tc>
          <w:tcPr>
            <w:tcW w:w="1250" w:type="pct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</w:tbl>
    <w:p>
      <w:pPr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Bolded values represent significant correlations between the variables, **</w:t>
      </w:r>
      <w:r>
        <w:rPr>
          <w:rFonts w:ascii="Times New Roman" w:hAnsi="Times New Roman"/>
          <w:i/>
          <w:iCs/>
          <w:color w:val="333333"/>
        </w:rPr>
        <w:t>p</w:t>
      </w:r>
      <w:r>
        <w:rPr>
          <w:rFonts w:ascii="Times New Roman" w:hAnsi="Times New Roman"/>
          <w:color w:val="333333"/>
        </w:rPr>
        <w:t xml:space="preserve"> &lt; 0.01.</w:t>
      </w:r>
    </w:p>
    <w:sectPr>
      <w:type w:val="continuous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31951312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>
        <w:pPr>
          <w:pStyle w:val="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1ZmJhNWMzMDRiYmUwOTJmNGMxNjVjMzY2YjVjMmYifQ=="/>
  </w:docVars>
  <w:rsids>
    <w:rsidRoot w:val="004073BA"/>
    <w:rsid w:val="00007203"/>
    <w:rsid w:val="00166D5C"/>
    <w:rsid w:val="00374FD9"/>
    <w:rsid w:val="00387143"/>
    <w:rsid w:val="003A6F20"/>
    <w:rsid w:val="003C49E1"/>
    <w:rsid w:val="004073BA"/>
    <w:rsid w:val="004650C4"/>
    <w:rsid w:val="0048703E"/>
    <w:rsid w:val="004F4721"/>
    <w:rsid w:val="00613394"/>
    <w:rsid w:val="006635BF"/>
    <w:rsid w:val="006B5535"/>
    <w:rsid w:val="00B27E92"/>
    <w:rsid w:val="00B94010"/>
    <w:rsid w:val="00BF29E4"/>
    <w:rsid w:val="00DF65EB"/>
    <w:rsid w:val="00E44F5A"/>
    <w:rsid w:val="00E7094C"/>
    <w:rsid w:val="0F3333A0"/>
    <w:rsid w:val="683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line number"/>
    <w:basedOn w:val="6"/>
    <w:semiHidden/>
    <w:unhideWhenUsed/>
    <w:uiPriority w:val="99"/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309</Words>
  <Characters>1866</Characters>
  <Lines>15</Lines>
  <Paragraphs>4</Paragraphs>
  <TotalTime>0</TotalTime>
  <ScaleCrop>false</ScaleCrop>
  <LinksUpToDate>false</LinksUpToDate>
  <CharactersWithSpaces>2056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2022-08-04T10:30:00Z</dcterms:created>
  <dc:creator>8613160016715</dc:creator>
  <cp:lastModifiedBy>Wenguo Hou</cp:lastModifiedBy>
  <dcterms:modified xsi:type="dcterms:W3CDTF">2022-08-17T03:47:15Z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CC330A2B89D74B349C38A487BBF794A4</vt:lpwstr>
  </property>
</Properties>
</file>