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12CEE" w14:textId="1D50EF9F" w:rsidR="000D3657" w:rsidRDefault="00DE3CA0" w:rsidP="000D3657">
      <w:pPr>
        <w:pStyle w:val="Head1"/>
        <w:spacing w:line="480" w:lineRule="auto"/>
      </w:pPr>
      <w:r>
        <w:t>Methods</w:t>
      </w:r>
    </w:p>
    <w:p w14:paraId="44956FF7" w14:textId="77777777" w:rsidR="000D3657" w:rsidRDefault="000D3657" w:rsidP="000D3657">
      <w:pPr>
        <w:spacing w:line="480" w:lineRule="auto"/>
        <w:jc w:val="both"/>
        <w:rPr>
          <w:lang w:val="en-US"/>
        </w:rPr>
      </w:pPr>
      <w:r>
        <w:rPr>
          <w:i/>
          <w:iCs/>
          <w:lang w:val="en-US"/>
        </w:rPr>
        <w:t>Materials.</w:t>
      </w:r>
      <w:r>
        <w:rPr>
          <w:lang w:val="en-US"/>
        </w:rPr>
        <w:t xml:space="preserve"> Ammonium sulfate, HEPES, sodium citrate, </w:t>
      </w:r>
      <w:proofErr w:type="gramStart"/>
      <w:r>
        <w:rPr>
          <w:lang w:val="en-US"/>
        </w:rPr>
        <w:t>Tris</w:t>
      </w:r>
      <w:proofErr w:type="gramEnd"/>
      <w:r>
        <w:rPr>
          <w:lang w:val="en-US"/>
        </w:rPr>
        <w:t xml:space="preserve"> base, sodium chloride, DEAE-Sepharose resin (CL-6B, DCL6B100), and D</w:t>
      </w:r>
      <w:r>
        <w:rPr>
          <w:vertAlign w:val="subscript"/>
          <w:lang w:val="en-US"/>
        </w:rPr>
        <w:t>2</w:t>
      </w:r>
      <w:r>
        <w:rPr>
          <w:lang w:val="en-US"/>
        </w:rPr>
        <w:t>O were purchased from Sigma-Aldrich. 7000 MWCO dialysis membrane (</w:t>
      </w:r>
      <w:proofErr w:type="spellStart"/>
      <w:r>
        <w:rPr>
          <w:lang w:val="en-US"/>
        </w:rPr>
        <w:t>SnakeSkin</w:t>
      </w:r>
      <w:proofErr w:type="spellEnd"/>
      <w:r>
        <w:rPr>
          <w:lang w:val="en-US"/>
        </w:rPr>
        <w:t xml:space="preserve"> Dialysis Tubing, 7K MWCO) was purchased from </w:t>
      </w:r>
      <w:proofErr w:type="spellStart"/>
      <w:r>
        <w:rPr>
          <w:lang w:val="en-US"/>
        </w:rPr>
        <w:t>ThermoFisher</w:t>
      </w:r>
      <w:proofErr w:type="spellEnd"/>
      <w:r>
        <w:rPr>
          <w:lang w:val="en-US"/>
        </w:rPr>
        <w:t xml:space="preserve"> Scientific. 30k filter tubes (</w:t>
      </w:r>
      <w:proofErr w:type="spellStart"/>
      <w:r>
        <w:rPr>
          <w:lang w:val="en-US"/>
        </w:rPr>
        <w:t>Amicon</w:t>
      </w:r>
      <w:proofErr w:type="spellEnd"/>
      <w:r>
        <w:rPr>
          <w:lang w:val="en-US"/>
        </w:rPr>
        <w:t xml:space="preserve"> ULTRA-15 15 mL 30K centrifugal filter unit) were purchased from Merck.</w:t>
      </w:r>
    </w:p>
    <w:p w14:paraId="33F537D7" w14:textId="77777777" w:rsidR="000D3657" w:rsidRDefault="000D3657" w:rsidP="000D3657">
      <w:pPr>
        <w:spacing w:line="480" w:lineRule="auto"/>
        <w:jc w:val="both"/>
        <w:rPr>
          <w:lang w:val="en-US"/>
        </w:rPr>
      </w:pPr>
      <w:r>
        <w:rPr>
          <w:lang w:val="en-US"/>
        </w:rPr>
        <w:t xml:space="preserve">Human blood was obtained from Australian Red Cross Life Blood, Queensland (human ethics approval #2018001922). Human prothrombin (#HCP-0010), human alpha-thrombin (#HCT-0020), and FXIII standard protein (HCXIII-0160) were purchased from </w:t>
      </w:r>
      <w:proofErr w:type="spellStart"/>
      <w:r>
        <w:rPr>
          <w:lang w:val="en-US"/>
        </w:rPr>
        <w:t>Haematologic</w:t>
      </w:r>
      <w:proofErr w:type="spellEnd"/>
      <w:r>
        <w:rPr>
          <w:lang w:val="en-US"/>
        </w:rPr>
        <w:t xml:space="preserve"> Technologies, USA. 1, 3-Dimethyl-4, 5-diphenyl-2-[(2-</w:t>
      </w:r>
      <w:proofErr w:type="gramStart"/>
      <w:r>
        <w:rPr>
          <w:lang w:val="en-US"/>
        </w:rPr>
        <w:t>oxopropyl)</w:t>
      </w:r>
      <w:proofErr w:type="spellStart"/>
      <w:r>
        <w:rPr>
          <w:lang w:val="en-US"/>
        </w:rPr>
        <w:t>thio</w:t>
      </w:r>
      <w:proofErr w:type="spellEnd"/>
      <w:proofErr w:type="gramEnd"/>
      <w:r>
        <w:rPr>
          <w:lang w:val="en-US"/>
        </w:rPr>
        <w:t xml:space="preserve">] imidazolium </w:t>
      </w:r>
      <w:proofErr w:type="spellStart"/>
      <w:r>
        <w:rPr>
          <w:lang w:val="en-US"/>
        </w:rPr>
        <w:t>trifluorosulfonic</w:t>
      </w:r>
      <w:proofErr w:type="spellEnd"/>
      <w:r>
        <w:rPr>
          <w:lang w:val="en-US"/>
        </w:rPr>
        <w:t xml:space="preserve"> acid salt (D004) was purchased from </w:t>
      </w:r>
      <w:proofErr w:type="spellStart"/>
      <w:r>
        <w:rPr>
          <w:lang w:val="en-US"/>
        </w:rPr>
        <w:t>Zedira</w:t>
      </w:r>
      <w:proofErr w:type="spellEnd"/>
      <w:r>
        <w:rPr>
          <w:lang w:val="en-US"/>
        </w:rPr>
        <w:t xml:space="preserve">, Germany. TGF-β1 (#240-B-002) was purchased from R&amp;D SYSTEMS, USA. Ecarin and Textilinin (#Q8008-1105) were kindly donated by Q-Sera Pty Ltd, Australia. The Primary FXIII antibody (PAHFXIII-S) was purchased from </w:t>
      </w:r>
      <w:proofErr w:type="spellStart"/>
      <w:r>
        <w:rPr>
          <w:lang w:val="en-US"/>
        </w:rPr>
        <w:t>Haematologic</w:t>
      </w:r>
      <w:proofErr w:type="spellEnd"/>
      <w:r>
        <w:rPr>
          <w:lang w:val="en-US"/>
        </w:rPr>
        <w:t xml:space="preserve"> Technologies, USA. Anti-YAP primary antibody (#sc-101199) was purchased from Santa Cruz Biotechnology, USA. Anti-α-SMA primary antibody (#A2547) </w:t>
      </w:r>
      <w:proofErr w:type="spellStart"/>
      <w:r>
        <w:rPr>
          <w:lang w:val="en-US"/>
        </w:rPr>
        <w:t>CellMask</w:t>
      </w:r>
      <w:proofErr w:type="spellEnd"/>
      <w:r>
        <w:rPr>
          <w:lang w:val="en-US"/>
        </w:rPr>
        <w:t xml:space="preserve"> Deep Red Plasma Membrane Stain (#C37608) and </w:t>
      </w:r>
      <w:proofErr w:type="spellStart"/>
      <w:r>
        <w:rPr>
          <w:lang w:val="en-US"/>
        </w:rPr>
        <w:t>Blebbistatin</w:t>
      </w:r>
      <w:proofErr w:type="spellEnd"/>
      <w:r>
        <w:rPr>
          <w:lang w:val="en-US"/>
        </w:rPr>
        <w:t xml:space="preserve"> (#B0560) were purchased from Sigma-Aldrich. Chromogenic FXIII activity assay (</w:t>
      </w:r>
      <w:proofErr w:type="spellStart"/>
      <w:r>
        <w:rPr>
          <w:lang w:val="en-US"/>
        </w:rPr>
        <w:t>Technochrom</w:t>
      </w:r>
      <w:proofErr w:type="spellEnd"/>
      <w:r>
        <w:rPr>
          <w:lang w:val="en-US"/>
        </w:rPr>
        <w:t xml:space="preserve">, #5360010) was purchased from </w:t>
      </w:r>
      <w:proofErr w:type="spellStart"/>
      <w:r>
        <w:rPr>
          <w:lang w:val="en-US"/>
        </w:rPr>
        <w:t>Diapharma</w:t>
      </w:r>
      <w:proofErr w:type="spellEnd"/>
      <w:r>
        <w:rPr>
          <w:lang w:val="en-US"/>
        </w:rPr>
        <w:t>.</w:t>
      </w:r>
    </w:p>
    <w:p w14:paraId="616BF62A" w14:textId="77777777" w:rsidR="000D3657" w:rsidRDefault="000D3657" w:rsidP="000D3657">
      <w:pPr>
        <w:spacing w:line="480" w:lineRule="auto"/>
        <w:jc w:val="both"/>
        <w:rPr>
          <w:lang w:val="en-US"/>
        </w:rPr>
      </w:pPr>
      <w:r>
        <w:rPr>
          <w:lang w:val="en-US"/>
        </w:rPr>
        <w:t xml:space="preserve">Alexa Fluor Plus 647 Phalloidin (#A30107), Hoechst 33342 (#H1399), Alexa Fluor Plus 594 secondary </w:t>
      </w:r>
      <w:proofErr w:type="gramStart"/>
      <w:r>
        <w:rPr>
          <w:lang w:val="en-US"/>
        </w:rPr>
        <w:t>antibody</w:t>
      </w:r>
      <w:proofErr w:type="gramEnd"/>
      <w:r>
        <w:rPr>
          <w:lang w:val="en-US"/>
        </w:rPr>
        <w:t xml:space="preserve"> (#A32742), Alexa Fluor 488-conjugated fibrinogen (Molecular Probes, Inc) and the protein ladders (#26614, #26625), Dulbecco's Modified Eagle Medium (DMEM, #21063029), fetal bovine serum (#10099141), penicillin-streptomycin (#15140122), LIVE/DEAD Viability/Cytotoxicity kit (#L3224) were all purchased from </w:t>
      </w:r>
      <w:proofErr w:type="spellStart"/>
      <w:r>
        <w:rPr>
          <w:lang w:val="en-US"/>
        </w:rPr>
        <w:t>ThermoFisher</w:t>
      </w:r>
      <w:proofErr w:type="spellEnd"/>
      <w:r>
        <w:rPr>
          <w:lang w:val="en-US"/>
        </w:rPr>
        <w:t xml:space="preserve"> Scientific.</w:t>
      </w:r>
    </w:p>
    <w:p w14:paraId="05CF98E8" w14:textId="77777777" w:rsidR="000D3657" w:rsidRDefault="000D3657" w:rsidP="000D3657">
      <w:pPr>
        <w:spacing w:line="480" w:lineRule="auto"/>
        <w:jc w:val="both"/>
        <w:rPr>
          <w:lang w:val="en-US"/>
        </w:rPr>
      </w:pPr>
      <w:r>
        <w:rPr>
          <w:lang w:val="en-US"/>
        </w:rPr>
        <w:lastRenderedPageBreak/>
        <w:t xml:space="preserve">The 15-well chamber slides (#81506) were purchased from </w:t>
      </w:r>
      <w:proofErr w:type="spellStart"/>
      <w:r>
        <w:rPr>
          <w:lang w:val="en-US"/>
        </w:rPr>
        <w:t>ibidi</w:t>
      </w:r>
      <w:proofErr w:type="spellEnd"/>
      <w:r>
        <w:rPr>
          <w:lang w:val="en-US"/>
        </w:rPr>
        <w:t xml:space="preserve">, USA. Triton X-100 was purchased from Sigma-Aldrich. RNeasy kit (#74106) was purchased from QIAGEN. </w:t>
      </w:r>
      <w:proofErr w:type="spellStart"/>
      <w:r>
        <w:rPr>
          <w:lang w:val="en-US"/>
        </w:rPr>
        <w:t>TRIzol</w:t>
      </w:r>
      <w:proofErr w:type="spellEnd"/>
      <w:r>
        <w:rPr>
          <w:lang w:val="en-US"/>
        </w:rPr>
        <w:t xml:space="preserve"> reagent (#15596026), Reverse Transcriptase kit (#18080093), TaqMan Universal PCR Master Mix (#4364340), and TaqMan gene expression assays including TAGLN (Hs01038777_g1), LRRC17 (Hs00180581_m1), GAPDH (#4326317E) and 18S rRNA (#4319413E) and the polystyrene flasks (Nunc™ </w:t>
      </w:r>
      <w:proofErr w:type="spellStart"/>
      <w:r>
        <w:rPr>
          <w:lang w:val="en-US"/>
        </w:rPr>
        <w:t>EasYFlask</w:t>
      </w:r>
      <w:proofErr w:type="spellEnd"/>
      <w:r>
        <w:rPr>
          <w:lang w:val="en-US"/>
        </w:rPr>
        <w:t xml:space="preserve">™) were all purchased from </w:t>
      </w:r>
      <w:proofErr w:type="spellStart"/>
      <w:r>
        <w:rPr>
          <w:lang w:val="en-US"/>
        </w:rPr>
        <w:t>ThermoFisher</w:t>
      </w:r>
      <w:proofErr w:type="spellEnd"/>
      <w:r>
        <w:rPr>
          <w:lang w:val="en-US"/>
        </w:rPr>
        <w:t xml:space="preserve"> Scientific. Chromogenic substrate assay (S-2238) was purchased from </w:t>
      </w:r>
      <w:proofErr w:type="spellStart"/>
      <w:r>
        <w:rPr>
          <w:lang w:val="en-US"/>
        </w:rPr>
        <w:t>Diapharma</w:t>
      </w:r>
      <w:proofErr w:type="spellEnd"/>
      <w:r>
        <w:rPr>
          <w:lang w:val="en-US"/>
        </w:rPr>
        <w:t>, USA.</w:t>
      </w:r>
    </w:p>
    <w:p w14:paraId="0829A220" w14:textId="77777777" w:rsidR="000D3657" w:rsidRDefault="000D3657" w:rsidP="000D3657">
      <w:pPr>
        <w:spacing w:line="480" w:lineRule="auto"/>
        <w:jc w:val="both"/>
        <w:rPr>
          <w:i/>
          <w:lang w:val="en-US"/>
        </w:rPr>
      </w:pPr>
      <w:r>
        <w:rPr>
          <w:bCs/>
          <w:i/>
          <w:iCs/>
          <w:lang w:val="en-US"/>
        </w:rPr>
        <w:t>Fibrinogen preparation.</w:t>
      </w:r>
      <w:r>
        <w:rPr>
          <w:i/>
          <w:lang w:val="en-US"/>
        </w:rPr>
        <w:t xml:space="preserve"> </w:t>
      </w:r>
      <w:r>
        <w:rPr>
          <w:lang w:val="en-US"/>
        </w:rPr>
        <w:t>Fresh human citrated whole blood (300–500 mL per donor) was centrifuged at room temperature (RT), 1500 g for 15 min to obtain platelet-poor plasma (PPP). The PPP was further centrifuged at RT, 5000 g for 15 min to obtain plasma without platelets. The individual plasma (from at least 3 donors) depleted of platelets was pooled and hereafter referred to as plasma.</w:t>
      </w:r>
    </w:p>
    <w:p w14:paraId="403D4EB0" w14:textId="67564C30" w:rsidR="000D3657" w:rsidRDefault="000D3657" w:rsidP="000D3657">
      <w:pPr>
        <w:spacing w:line="480" w:lineRule="auto"/>
        <w:jc w:val="both"/>
        <w:rPr>
          <w:lang w:val="en-US"/>
        </w:rPr>
      </w:pPr>
      <w:r>
        <w:rPr>
          <w:lang w:val="en-US"/>
        </w:rPr>
        <w:t xml:space="preserve">Ammonium sulfate (AS) precipitation was employed twice to purify the fibrinogen from the plasma. For the first AS precipitation, plasma and ammonium sulfate were chilled on ice. Plasma was precipitated by 0.9 </w:t>
      </w:r>
      <w:r>
        <w:rPr>
          <w:vertAlign w:val="subscript"/>
          <w:lang w:val="en-US"/>
        </w:rPr>
        <w:t>M</w:t>
      </w:r>
      <w:r>
        <w:rPr>
          <w:lang w:val="en-US"/>
        </w:rPr>
        <w:t xml:space="preserve"> AS containing 10 m</w:t>
      </w:r>
      <w:r>
        <w:rPr>
          <w:vertAlign w:val="subscript"/>
          <w:lang w:val="en-US"/>
        </w:rPr>
        <w:t>M</w:t>
      </w:r>
      <w:r>
        <w:rPr>
          <w:lang w:val="en-US"/>
        </w:rPr>
        <w:t xml:space="preserve"> HEPES. The resulting solution was swirled in a plastic beaker at 4 °C for 2 hours to precipitate the fibrinogen. The precipitated solution was subsequently centrifuged at 4 °C 5000 g for 15 min and resuspended in resuspension buffer (20 m</w:t>
      </w:r>
      <w:r>
        <w:rPr>
          <w:vertAlign w:val="subscript"/>
          <w:lang w:val="en-US"/>
        </w:rPr>
        <w:t>M</w:t>
      </w:r>
      <w:r>
        <w:rPr>
          <w:lang w:val="en-US"/>
        </w:rPr>
        <w:t xml:space="preserve"> sodium citrate, 20 m</w:t>
      </w:r>
      <w:r>
        <w:rPr>
          <w:vertAlign w:val="subscript"/>
          <w:lang w:val="en-US"/>
        </w:rPr>
        <w:t>M</w:t>
      </w:r>
      <w:r>
        <w:rPr>
          <w:lang w:val="en-US"/>
        </w:rPr>
        <w:t xml:space="preserve"> Tris pH 6.8) at RT for 30 min to fully dissolve the pellet for the second AS precipitation. A second AS precipitation was employed and the resulting pellet was resuspended in fibrinogen buffer (10 m</w:t>
      </w:r>
      <w:r>
        <w:rPr>
          <w:vertAlign w:val="subscript"/>
          <w:lang w:val="en-US"/>
        </w:rPr>
        <w:t>M</w:t>
      </w:r>
      <w:r>
        <w:rPr>
          <w:lang w:val="en-US"/>
        </w:rPr>
        <w:t xml:space="preserve"> HEPES pH 7.4, 10 m</w:t>
      </w:r>
      <w:r>
        <w:rPr>
          <w:vertAlign w:val="subscript"/>
          <w:lang w:val="en-US"/>
        </w:rPr>
        <w:t>M</w:t>
      </w:r>
      <w:r>
        <w:rPr>
          <w:lang w:val="en-US"/>
        </w:rPr>
        <w:t xml:space="preserve"> sodium citrate, 150 m</w:t>
      </w:r>
      <w:r>
        <w:rPr>
          <w:vertAlign w:val="subscript"/>
          <w:lang w:val="en-US"/>
        </w:rPr>
        <w:t>M</w:t>
      </w:r>
      <w:r>
        <w:rPr>
          <w:lang w:val="en-US"/>
        </w:rPr>
        <w:t xml:space="preserve"> sodium chloride) for 30 min until fully dissolved. The precipitated protein was dialyzed using the 7000 MWCO dialysis membrane to dialyze against the buffer containing 10 m</w:t>
      </w:r>
      <w:r>
        <w:rPr>
          <w:vertAlign w:val="subscript"/>
          <w:lang w:val="en-US"/>
        </w:rPr>
        <w:t>M</w:t>
      </w:r>
      <w:r>
        <w:rPr>
          <w:lang w:val="en-US"/>
        </w:rPr>
        <w:t xml:space="preserve"> HEPES, 10 m</w:t>
      </w:r>
      <w:r>
        <w:rPr>
          <w:vertAlign w:val="subscript"/>
          <w:lang w:val="en-US"/>
        </w:rPr>
        <w:t>M</w:t>
      </w:r>
      <w:r>
        <w:rPr>
          <w:lang w:val="en-US"/>
        </w:rPr>
        <w:t xml:space="preserve"> sodium citrate, and 150 m</w:t>
      </w:r>
      <w:r>
        <w:rPr>
          <w:vertAlign w:val="subscript"/>
          <w:lang w:val="en-US"/>
        </w:rPr>
        <w:t>M</w:t>
      </w:r>
      <w:r>
        <w:rPr>
          <w:lang w:val="en-US"/>
        </w:rPr>
        <w:t xml:space="preserve"> NaCl pH 7.4 at 10 °C for 12 h. Afterward, the anion-exchange chromatography using DEAE-Sepharose was carried out to remove the fibronectin from the precipitated fibrinogen product</w:t>
      </w:r>
      <w:r w:rsidR="00BC5315">
        <w:rPr>
          <w:lang w:val="en-US"/>
        </w:rPr>
        <w:t>.</w:t>
      </w:r>
      <w:r>
        <w:rPr>
          <w:noProof/>
          <w:vertAlign w:val="superscript"/>
          <w:lang w:val="en-US"/>
        </w:rPr>
        <w:t>[</w:t>
      </w:r>
      <w:r w:rsidR="00A975B9">
        <w:rPr>
          <w:noProof/>
          <w:vertAlign w:val="superscript"/>
          <w:lang w:val="en-US"/>
        </w:rPr>
        <w:t>1</w:t>
      </w:r>
      <w:r>
        <w:rPr>
          <w:noProof/>
          <w:vertAlign w:val="superscript"/>
          <w:lang w:val="en-US"/>
        </w:rPr>
        <w:t>]</w:t>
      </w:r>
      <w:r>
        <w:rPr>
          <w:lang w:val="en-US"/>
        </w:rPr>
        <w:t xml:space="preserve"> A total of 50 mL DEAE-</w:t>
      </w:r>
      <w:r>
        <w:rPr>
          <w:lang w:val="en-US"/>
        </w:rPr>
        <w:lastRenderedPageBreak/>
        <w:t>Sepharose resin was loaded to a chromatography system equipped with a 20 cm long column (Radius = 2 cm) and a streamline dispenser (IPC high precision multichannel dispenser, ISMATEC). The sample was applied to the resin at 0.5 mL/min after the column was equilibrated with equilibration buffer (10 m</w:t>
      </w:r>
      <w:r>
        <w:rPr>
          <w:vertAlign w:val="subscript"/>
          <w:lang w:val="en-US"/>
        </w:rPr>
        <w:t>M</w:t>
      </w:r>
      <w:r>
        <w:rPr>
          <w:lang w:val="en-US"/>
        </w:rPr>
        <w:t xml:space="preserve"> HEPES, 10m</w:t>
      </w:r>
      <w:r>
        <w:rPr>
          <w:vertAlign w:val="subscript"/>
          <w:lang w:val="en-US"/>
        </w:rPr>
        <w:t>M</w:t>
      </w:r>
      <w:r>
        <w:rPr>
          <w:lang w:val="en-US"/>
        </w:rPr>
        <w:t xml:space="preserve"> sodium citrate, 100 m</w:t>
      </w:r>
      <w:r>
        <w:rPr>
          <w:vertAlign w:val="subscript"/>
          <w:lang w:val="en-US"/>
        </w:rPr>
        <w:t>M</w:t>
      </w:r>
      <w:r>
        <w:rPr>
          <w:lang w:val="en-US"/>
        </w:rPr>
        <w:t xml:space="preserve"> NaCl, pH 7.4. A two-column volume of washing buffer (10 m</w:t>
      </w:r>
      <w:r>
        <w:rPr>
          <w:vertAlign w:val="subscript"/>
          <w:lang w:val="en-US"/>
        </w:rPr>
        <w:t>M</w:t>
      </w:r>
      <w:r>
        <w:rPr>
          <w:lang w:val="en-US"/>
        </w:rPr>
        <w:t xml:space="preserve"> HEPES, 10 m</w:t>
      </w:r>
      <w:r>
        <w:rPr>
          <w:vertAlign w:val="subscript"/>
          <w:lang w:val="en-US"/>
        </w:rPr>
        <w:t>M</w:t>
      </w:r>
      <w:r>
        <w:rPr>
          <w:lang w:val="en-US"/>
        </w:rPr>
        <w:t xml:space="preserve"> Sodium Citrate, 100 m</w:t>
      </w:r>
      <w:r>
        <w:rPr>
          <w:vertAlign w:val="subscript"/>
          <w:lang w:val="en-US"/>
        </w:rPr>
        <w:t>M</w:t>
      </w:r>
      <w:r>
        <w:rPr>
          <w:lang w:val="en-US"/>
        </w:rPr>
        <w:t xml:space="preserve"> NaCl, pH 7.4) was then loaded and the washing fractions were collected. The fibronectin was then collected by gradient elution using the elution buffer (10 m</w:t>
      </w:r>
      <w:r>
        <w:rPr>
          <w:vertAlign w:val="subscript"/>
          <w:lang w:val="en-US"/>
        </w:rPr>
        <w:t>M</w:t>
      </w:r>
      <w:r>
        <w:rPr>
          <w:lang w:val="en-US"/>
        </w:rPr>
        <w:t xml:space="preserve"> HEPES, 10 m</w:t>
      </w:r>
      <w:r>
        <w:rPr>
          <w:vertAlign w:val="subscript"/>
          <w:lang w:val="en-US"/>
        </w:rPr>
        <w:t>M</w:t>
      </w:r>
      <w:r>
        <w:rPr>
          <w:lang w:val="en-US"/>
        </w:rPr>
        <w:t xml:space="preserve"> Sodium Citrate, 150 m</w:t>
      </w:r>
      <w:r>
        <w:rPr>
          <w:vertAlign w:val="subscript"/>
          <w:lang w:val="en-US"/>
        </w:rPr>
        <w:t>M</w:t>
      </w:r>
      <w:r>
        <w:rPr>
          <w:lang w:val="en-US"/>
        </w:rPr>
        <w:t>–1</w:t>
      </w:r>
      <w:r>
        <w:rPr>
          <w:vertAlign w:val="subscript"/>
          <w:lang w:val="en-US"/>
        </w:rPr>
        <w:t>M</w:t>
      </w:r>
      <w:r>
        <w:rPr>
          <w:lang w:val="en-US"/>
        </w:rPr>
        <w:t xml:space="preserve"> NaCl, pH 7.4). The collected fractions were monitored by Bradford assays as well as SDS-PAGE during the chromatography. The NaCl concentrations of the fibrinogen and fibronectin fractions were adjusted to 150 </w:t>
      </w:r>
      <w:proofErr w:type="spellStart"/>
      <w:r>
        <w:rPr>
          <w:lang w:val="en-US"/>
        </w:rPr>
        <w:t>m</w:t>
      </w:r>
      <w:r>
        <w:rPr>
          <w:vertAlign w:val="subscript"/>
          <w:lang w:val="en-US"/>
        </w:rPr>
        <w:t>M</w:t>
      </w:r>
      <w:r>
        <w:rPr>
          <w:lang w:val="en-US"/>
        </w:rPr>
        <w:t>.</w:t>
      </w:r>
      <w:proofErr w:type="spellEnd"/>
      <w:r>
        <w:rPr>
          <w:lang w:val="en-US"/>
        </w:rPr>
        <w:t xml:space="preserve"> Both fibrinogen and fibronectin fractions were then pooled and concentrated using 30k filter tubes. The concentrations of the purified fibrinogen (</w:t>
      </w:r>
      <w:proofErr w:type="spellStart"/>
      <w:r>
        <w:rPr>
          <w:lang w:val="en-US"/>
        </w:rPr>
        <w:t>pFg</w:t>
      </w:r>
      <w:proofErr w:type="spellEnd"/>
      <w:r>
        <w:rPr>
          <w:lang w:val="en-US"/>
        </w:rPr>
        <w:t>) and purified fibronectin (</w:t>
      </w:r>
      <w:proofErr w:type="spellStart"/>
      <w:r>
        <w:rPr>
          <w:lang w:val="en-US"/>
        </w:rPr>
        <w:t>pFn</w:t>
      </w:r>
      <w:proofErr w:type="spellEnd"/>
      <w:r>
        <w:rPr>
          <w:lang w:val="en-US"/>
        </w:rPr>
        <w:t xml:space="preserve">) were quantified using a </w:t>
      </w:r>
      <w:proofErr w:type="spellStart"/>
      <w:r>
        <w:rPr>
          <w:lang w:val="en-US"/>
        </w:rPr>
        <w:t>NanoDrop</w:t>
      </w:r>
      <w:proofErr w:type="spellEnd"/>
      <w:r>
        <w:rPr>
          <w:lang w:val="en-US"/>
        </w:rPr>
        <w:t>™ 2000/2000c Spectrophotometer (</w:t>
      </w:r>
      <w:proofErr w:type="spellStart"/>
      <w:r>
        <w:rPr>
          <w:lang w:val="en-US"/>
        </w:rPr>
        <w:t>ThermoFisher</w:t>
      </w:r>
      <w:proofErr w:type="spellEnd"/>
      <w:r>
        <w:rPr>
          <w:lang w:val="en-US"/>
        </w:rPr>
        <w:t xml:space="preserve"> Scientific) using the extinction coefficient (E</w:t>
      </w:r>
      <w:r>
        <w:rPr>
          <w:vertAlign w:val="superscript"/>
          <w:lang w:val="en-US"/>
        </w:rPr>
        <w:t>1%</w:t>
      </w:r>
      <w:r>
        <w:rPr>
          <w:lang w:val="en-US"/>
        </w:rPr>
        <w:t>) of 15.1 (280nm)</w:t>
      </w:r>
      <w:r>
        <w:rPr>
          <w:vertAlign w:val="superscript"/>
          <w:lang w:val="en-US"/>
        </w:rPr>
        <w:t>2</w:t>
      </w:r>
      <w:r>
        <w:rPr>
          <w:lang w:val="en-US"/>
        </w:rPr>
        <w:t xml:space="preserve"> for </w:t>
      </w:r>
      <w:proofErr w:type="gramStart"/>
      <w:r>
        <w:rPr>
          <w:lang w:val="en-US"/>
        </w:rPr>
        <w:t>fibrinogen</w:t>
      </w:r>
      <w:r>
        <w:rPr>
          <w:noProof/>
          <w:vertAlign w:val="superscript"/>
          <w:lang w:val="en-US"/>
        </w:rPr>
        <w:t>[</w:t>
      </w:r>
      <w:proofErr w:type="gramEnd"/>
      <w:r w:rsidR="00A975B9">
        <w:rPr>
          <w:noProof/>
          <w:vertAlign w:val="superscript"/>
          <w:lang w:val="en-US"/>
        </w:rPr>
        <w:t>2</w:t>
      </w:r>
      <w:r>
        <w:rPr>
          <w:noProof/>
          <w:vertAlign w:val="superscript"/>
          <w:lang w:val="en-US"/>
        </w:rPr>
        <w:t>]</w:t>
      </w:r>
      <w:r>
        <w:rPr>
          <w:lang w:val="en-US"/>
        </w:rPr>
        <w:t xml:space="preserve"> and 14 for fibronectin. Notably, the final purified fibrinogen product exists in a form of the fibrinogen-fibronectin complex according to the SDS-PAGE results. The final purified fibrinogen or fibronectin was stored at –80 °C. Eight batches of purified fibrinogen were obtained as part of the study (B1–B10). Three continuous fractions of fibrinogen (labeled as a, b, </w:t>
      </w:r>
      <w:proofErr w:type="gramStart"/>
      <w:r>
        <w:rPr>
          <w:lang w:val="en-US"/>
        </w:rPr>
        <w:t>c</w:t>
      </w:r>
      <w:proofErr w:type="gramEnd"/>
      <w:r>
        <w:rPr>
          <w:lang w:val="en-US"/>
        </w:rPr>
        <w:t xml:space="preserve"> or d) were collected for 3 batches (B4a-d, B7a-d, and B8a-c). </w:t>
      </w:r>
    </w:p>
    <w:p w14:paraId="0B007E19" w14:textId="77777777" w:rsidR="000D3657" w:rsidRDefault="000D3657" w:rsidP="000D3657">
      <w:pPr>
        <w:spacing w:line="480" w:lineRule="auto"/>
        <w:jc w:val="both"/>
        <w:rPr>
          <w:lang w:val="en-US"/>
        </w:rPr>
      </w:pPr>
      <w:r>
        <w:rPr>
          <w:i/>
          <w:lang w:val="en-US"/>
        </w:rPr>
        <w:t>FXIII isolation</w:t>
      </w:r>
      <w:r>
        <w:rPr>
          <w:lang w:val="en-US"/>
        </w:rPr>
        <w:t>. To obtain the FXIII in the purified fibrinogen product, fibrinogen was denatured and removed by incubating the product at 60 °C for 3 min. Denatured fibrinogen protein was then removed using a pipette tip. The obtained FXIII was quantified by SDS-PAGE or western blot and stored in 10% glycerol at –20 °C.</w:t>
      </w:r>
    </w:p>
    <w:p w14:paraId="2CF2357D" w14:textId="77777777" w:rsidR="000D3657" w:rsidRDefault="000D3657" w:rsidP="000D3657">
      <w:pPr>
        <w:spacing w:line="480" w:lineRule="auto"/>
        <w:jc w:val="both"/>
        <w:rPr>
          <w:lang w:val="en-US"/>
        </w:rPr>
      </w:pPr>
      <w:r>
        <w:rPr>
          <w:i/>
          <w:lang w:val="en-US"/>
        </w:rPr>
        <w:t>FXIII activity quantification</w:t>
      </w:r>
      <w:r>
        <w:rPr>
          <w:lang w:val="en-US"/>
        </w:rPr>
        <w:t>. The endogenous FXIII activity in each batch of fibrinogen was quantified by the chromogenic FXIII activity assay according to the manufacturer’s instructions.</w:t>
      </w:r>
    </w:p>
    <w:p w14:paraId="62FABCEC" w14:textId="77777777" w:rsidR="000D3657" w:rsidRDefault="000D3657" w:rsidP="000D3657">
      <w:pPr>
        <w:spacing w:line="480" w:lineRule="auto"/>
        <w:jc w:val="both"/>
        <w:rPr>
          <w:lang w:val="en-US"/>
        </w:rPr>
      </w:pPr>
      <w:r>
        <w:rPr>
          <w:bCs/>
          <w:i/>
          <w:iCs/>
          <w:lang w:val="en-US"/>
        </w:rPr>
        <w:lastRenderedPageBreak/>
        <w:t>Fibrin formation.</w:t>
      </w:r>
      <w:r>
        <w:rPr>
          <w:lang w:val="en-US"/>
        </w:rPr>
        <w:t xml:space="preserve"> For the venom-controlled fibrin network formation, frozen fibrinogen was thawed and warmed to RT for 30 min followed by mixing with a mixture of 2 m</w:t>
      </w:r>
      <w:r>
        <w:rPr>
          <w:vertAlign w:val="subscript"/>
          <w:lang w:val="en-US"/>
        </w:rPr>
        <w:t>M</w:t>
      </w:r>
      <w:r>
        <w:rPr>
          <w:lang w:val="en-US"/>
        </w:rPr>
        <w:t xml:space="preserve"> CaCl</w:t>
      </w:r>
      <w:r>
        <w:rPr>
          <w:vertAlign w:val="subscript"/>
          <w:lang w:val="en-US"/>
        </w:rPr>
        <w:t>2</w:t>
      </w:r>
      <w:r>
        <w:rPr>
          <w:lang w:val="en-US"/>
        </w:rPr>
        <w:t>, 10 μ</w:t>
      </w:r>
      <w:r>
        <w:rPr>
          <w:bCs/>
          <w:smallCaps/>
          <w:lang w:val="en-US"/>
        </w:rPr>
        <w:t>m</w:t>
      </w:r>
      <w:r>
        <w:rPr>
          <w:lang w:val="en-US"/>
        </w:rPr>
        <w:t xml:space="preserve"> textilinin, human prothrombin (</w:t>
      </w:r>
      <w:r>
        <w:rPr>
          <w:bCs/>
          <w:lang w:val="en-US"/>
        </w:rPr>
        <w:t>10</w:t>
      </w:r>
      <w:r>
        <w:rPr>
          <w:bCs/>
          <w:vertAlign w:val="superscript"/>
          <w:lang w:val="en-US"/>
        </w:rPr>
        <w:t>–7</w:t>
      </w:r>
      <w:r>
        <w:rPr>
          <w:lang w:val="en-US"/>
        </w:rPr>
        <w:t>–</w:t>
      </w:r>
      <w:r>
        <w:rPr>
          <w:bCs/>
          <w:lang w:val="en-US"/>
        </w:rPr>
        <w:t>10</w:t>
      </w:r>
      <w:r>
        <w:rPr>
          <w:bCs/>
          <w:vertAlign w:val="superscript"/>
          <w:lang w:val="en-US"/>
        </w:rPr>
        <w:t>–3</w:t>
      </w:r>
      <w:r>
        <w:rPr>
          <w:bCs/>
          <w:lang w:val="en-US"/>
        </w:rPr>
        <w:t xml:space="preserve"> IU µL</w:t>
      </w:r>
      <w:r>
        <w:rPr>
          <w:bCs/>
          <w:vertAlign w:val="superscript"/>
          <w:lang w:val="en-US"/>
        </w:rPr>
        <w:t>-1</w:t>
      </w:r>
      <w:r>
        <w:rPr>
          <w:bCs/>
          <w:lang w:val="en-US"/>
        </w:rPr>
        <w:t>, with 1 unit equivalent to the prothrombin activity in 1 mL normal human plasma</w:t>
      </w:r>
      <w:r>
        <w:rPr>
          <w:lang w:val="en-US"/>
        </w:rPr>
        <w:t>) in a buffer containing 20 m</w:t>
      </w:r>
      <w:r>
        <w:rPr>
          <w:vertAlign w:val="subscript"/>
          <w:lang w:val="en-US"/>
        </w:rPr>
        <w:t>M</w:t>
      </w:r>
      <w:r>
        <w:rPr>
          <w:lang w:val="en-US"/>
        </w:rPr>
        <w:t xml:space="preserve"> HEPES and 150 m</w:t>
      </w:r>
      <w:r>
        <w:rPr>
          <w:vertAlign w:val="subscript"/>
          <w:lang w:val="en-US"/>
        </w:rPr>
        <w:t>M</w:t>
      </w:r>
      <w:r>
        <w:rPr>
          <w:lang w:val="en-US"/>
        </w:rPr>
        <w:t xml:space="preserve"> NaCl, pH 7.4 (hereafter referred as clotting buffer). This mixture and prepared ecarin in clotting buffer were then pre-heated separately at 37 °C for 5 min and then combined to form the fibrin networks in 15-well chamber slides at 37 °C. For the thrombin-initiated fibrin networks, alpha-thrombin (</w:t>
      </w:r>
      <w:r>
        <w:rPr>
          <w:bCs/>
          <w:lang w:val="en-US"/>
        </w:rPr>
        <w:t>10</w:t>
      </w:r>
      <w:r>
        <w:rPr>
          <w:bCs/>
          <w:vertAlign w:val="superscript"/>
          <w:lang w:val="en-US"/>
        </w:rPr>
        <w:t>4</w:t>
      </w:r>
      <w:r>
        <w:rPr>
          <w:lang w:val="en-US"/>
        </w:rPr>
        <w:t>–</w:t>
      </w:r>
      <w:r>
        <w:rPr>
          <w:bCs/>
          <w:lang w:val="en-US"/>
        </w:rPr>
        <w:t>10</w:t>
      </w:r>
      <w:r>
        <w:rPr>
          <w:bCs/>
          <w:vertAlign w:val="superscript"/>
          <w:lang w:val="en-US"/>
        </w:rPr>
        <w:t>–3</w:t>
      </w:r>
      <w:r>
        <w:rPr>
          <w:lang w:val="en-US"/>
        </w:rPr>
        <w:t xml:space="preserve"> Unit μL</w:t>
      </w:r>
      <w:r>
        <w:rPr>
          <w:bCs/>
          <w:vertAlign w:val="superscript"/>
          <w:lang w:val="en-US"/>
        </w:rPr>
        <w:t>-1</w:t>
      </w:r>
      <w:r>
        <w:rPr>
          <w:lang w:val="en-US"/>
        </w:rPr>
        <w:t xml:space="preserve">, determined by fibrinogen clotting assay relative to human NIH standard thrombin) was pre-heated for 5 min and added to the fibrinogen in the clotting buffer under the same condition. For the fibrin networks involving tuning the rheological properties, purified FXIII (0–60 </w:t>
      </w:r>
      <w:proofErr w:type="spellStart"/>
      <w:r>
        <w:rPr>
          <w:lang w:val="en-US"/>
        </w:rPr>
        <w:t>μg</w:t>
      </w:r>
      <w:proofErr w:type="spellEnd"/>
      <w:r>
        <w:rPr>
          <w:lang w:val="en-US"/>
        </w:rPr>
        <w:t xml:space="preserve"> mL</w:t>
      </w:r>
      <w:r>
        <w:rPr>
          <w:bCs/>
          <w:vertAlign w:val="superscript"/>
          <w:lang w:val="en-US"/>
        </w:rPr>
        <w:t>-1</w:t>
      </w:r>
      <w:r>
        <w:rPr>
          <w:lang w:val="en-US"/>
        </w:rPr>
        <w:t>) or 1, 3-Dimethyl-4, 5-diphenyl-2-[(2-</w:t>
      </w:r>
      <w:proofErr w:type="gramStart"/>
      <w:r>
        <w:rPr>
          <w:lang w:val="en-US"/>
        </w:rPr>
        <w:t>oxopropyl)</w:t>
      </w:r>
      <w:proofErr w:type="spellStart"/>
      <w:r>
        <w:rPr>
          <w:lang w:val="en-US"/>
        </w:rPr>
        <w:t>thio</w:t>
      </w:r>
      <w:proofErr w:type="spellEnd"/>
      <w:proofErr w:type="gramEnd"/>
      <w:r>
        <w:rPr>
          <w:lang w:val="en-US"/>
        </w:rPr>
        <w:t xml:space="preserve">] imidazolium </w:t>
      </w:r>
      <w:proofErr w:type="spellStart"/>
      <w:r>
        <w:rPr>
          <w:lang w:val="en-US"/>
        </w:rPr>
        <w:t>trifluorosulfonic</w:t>
      </w:r>
      <w:proofErr w:type="spellEnd"/>
      <w:r>
        <w:rPr>
          <w:lang w:val="en-US"/>
        </w:rPr>
        <w:t xml:space="preserve"> acid salt (D004), an inhibitor of FXIII, was added to the mixture before initiation. For the experiments detecting the effects of pre-heating time on the fibrin gelation, thrombin or ecarin/prothrombin were pre-heated for either 5 min or 10 min before initiation. The operation time was controlled to be within 5 min after the reagents were pre-heated before initiation. For tuning the final fibronectin concentrations in the fibrin, different concentrations of the purified fibronectin (</w:t>
      </w:r>
      <w:proofErr w:type="spellStart"/>
      <w:r>
        <w:rPr>
          <w:lang w:val="en-US"/>
        </w:rPr>
        <w:t>pFn</w:t>
      </w:r>
      <w:proofErr w:type="spellEnd"/>
      <w:r>
        <w:rPr>
          <w:lang w:val="en-US"/>
        </w:rPr>
        <w:t>) were added to the purified fibrinogen (</w:t>
      </w:r>
      <w:proofErr w:type="spellStart"/>
      <w:r>
        <w:rPr>
          <w:lang w:val="en-US"/>
        </w:rPr>
        <w:t>pFg</w:t>
      </w:r>
      <w:proofErr w:type="spellEnd"/>
      <w:r>
        <w:rPr>
          <w:lang w:val="en-US"/>
        </w:rPr>
        <w:t xml:space="preserve">) before initiation whilst maintaining the fibrinogen concentration unchanged. </w:t>
      </w:r>
    </w:p>
    <w:p w14:paraId="482E92A2" w14:textId="77777777" w:rsidR="000D3657" w:rsidRDefault="000D3657" w:rsidP="000D3657">
      <w:pPr>
        <w:spacing w:line="480" w:lineRule="auto"/>
        <w:jc w:val="both"/>
        <w:rPr>
          <w:lang w:val="en-US"/>
        </w:rPr>
      </w:pPr>
      <w:r>
        <w:rPr>
          <w:lang w:val="en-US"/>
        </w:rPr>
        <w:t>To minimize the degradation of activity, all the enzymes dissolved in 10% glycerol including prothrombin, thrombin, and FXIII were always kept at -20 °C before mixing. Fibrinogen and fibronectin were aliquoted and only freeze-thawed once to avoid the degradation of activity of endogenous FXIII.</w:t>
      </w:r>
    </w:p>
    <w:p w14:paraId="3DBC3615" w14:textId="77777777" w:rsidR="000D3657" w:rsidRDefault="000D3657" w:rsidP="000D3657">
      <w:pPr>
        <w:spacing w:line="480" w:lineRule="auto"/>
        <w:jc w:val="both"/>
        <w:rPr>
          <w:lang w:val="en-US"/>
        </w:rPr>
      </w:pPr>
      <w:r>
        <w:rPr>
          <w:bCs/>
          <w:i/>
          <w:iCs/>
          <w:lang w:val="en-US"/>
        </w:rPr>
        <w:t>SDS-PAGE.</w:t>
      </w:r>
      <w:r>
        <w:rPr>
          <w:lang w:val="en-US"/>
        </w:rPr>
        <w:t xml:space="preserve"> The purity of different fractions during chromatography or concentrated samples was detected by reducing SDS-PAGE. For this, 10 µL of each sample was harvested. Each sample was treated with 5</w:t>
      </w:r>
      <w:r>
        <w:rPr>
          <w:iCs/>
          <w:lang w:val="en-US"/>
        </w:rPr>
        <w:t>×</w:t>
      </w:r>
      <w:r>
        <w:rPr>
          <w:lang w:val="en-US"/>
        </w:rPr>
        <w:t xml:space="preserve"> SDS-PAGE buffer (with 10% β-</w:t>
      </w:r>
      <w:proofErr w:type="spellStart"/>
      <w:r>
        <w:rPr>
          <w:lang w:val="en-US"/>
        </w:rPr>
        <w:t>mercaptoethanol</w:t>
      </w:r>
      <w:proofErr w:type="spellEnd"/>
      <w:r>
        <w:rPr>
          <w:lang w:val="en-US"/>
        </w:rPr>
        <w:t xml:space="preserve">, BME) and </w:t>
      </w:r>
      <w:r>
        <w:rPr>
          <w:lang w:val="en-US"/>
        </w:rPr>
        <w:lastRenderedPageBreak/>
        <w:t>denatured at 95 °C for 10 min. Protein ladders and samples (5 µL per lane) were then loaded on 4–20% polyacrylamide gel. Electrophoresis was run in 1</w:t>
      </w:r>
      <w:r>
        <w:rPr>
          <w:rFonts w:ascii="Symbol" w:hAnsi="Symbol"/>
          <w:lang w:val="en-US"/>
        </w:rPr>
        <w:t>´</w:t>
      </w:r>
      <w:r>
        <w:rPr>
          <w:lang w:val="en-US"/>
        </w:rPr>
        <w:t xml:space="preserve"> SDS Running Buffer at 40 mA for 30 min. The gels were stained with Coomassie Blue and scanned by the </w:t>
      </w:r>
      <w:proofErr w:type="spellStart"/>
      <w:r>
        <w:rPr>
          <w:lang w:val="en-US"/>
        </w:rPr>
        <w:t>ChemiDoc</w:t>
      </w:r>
      <w:proofErr w:type="spellEnd"/>
      <w:r>
        <w:rPr>
          <w:lang w:val="en-US"/>
        </w:rPr>
        <w:t xml:space="preserve"> Imaging system (Bio-Rad). Densitometry analysis of the bands was performed by ImageJ.</w:t>
      </w:r>
    </w:p>
    <w:p w14:paraId="78738650" w14:textId="77777777" w:rsidR="000D3657" w:rsidRDefault="000D3657" w:rsidP="000D3657">
      <w:pPr>
        <w:spacing w:line="480" w:lineRule="auto"/>
        <w:jc w:val="both"/>
        <w:rPr>
          <w:lang w:val="en-US"/>
        </w:rPr>
      </w:pPr>
      <w:bookmarkStart w:id="0" w:name="_Hlk94863140"/>
      <w:r>
        <w:rPr>
          <w:bCs/>
          <w:i/>
          <w:iCs/>
          <w:lang w:val="en-US"/>
        </w:rPr>
        <w:t>Rheology.</w:t>
      </w:r>
      <w:r>
        <w:rPr>
          <w:lang w:val="en-US"/>
        </w:rPr>
        <w:t xml:space="preserve"> The rheological properties of the fibrin networks were evaluated and quantified using an Anton </w:t>
      </w:r>
      <w:proofErr w:type="spellStart"/>
      <w:r>
        <w:rPr>
          <w:lang w:val="en-US"/>
        </w:rPr>
        <w:t>Paar</w:t>
      </w:r>
      <w:proofErr w:type="spellEnd"/>
      <w:r>
        <w:rPr>
          <w:lang w:val="en-US"/>
        </w:rPr>
        <w:t xml:space="preserve"> MCR-502WESP rheometer equipped with a parallel stainless-steel geometry PP25. Upon fibrin network initiation, 300</w:t>
      </w:r>
      <m:oMath>
        <m:r>
          <w:rPr>
            <w:rFonts w:ascii="Cambria Math" w:hAnsi="Cambria Math"/>
            <w:lang w:val="en-US"/>
          </w:rPr>
          <m:t xml:space="preserve"> µ</m:t>
        </m:r>
      </m:oMath>
      <w:r>
        <w:rPr>
          <w:lang w:val="en-US"/>
        </w:rPr>
        <w:t xml:space="preserve">L of the fibrin sample was immediately loaded onto the pre-warmed (37 °C) bottom plate with the gap set to 0.5 mm, followed by trimming of the excess sample around the geometry. To completely avoid evaporation, silicon oil was applied to </w:t>
      </w:r>
      <w:bookmarkStart w:id="1" w:name="OLE_LINK3"/>
      <w:r>
        <w:rPr>
          <w:lang w:val="en-US"/>
        </w:rPr>
        <w:t xml:space="preserve">seal </w:t>
      </w:r>
      <w:bookmarkEnd w:id="1"/>
      <w:r>
        <w:rPr>
          <w:lang w:val="en-US"/>
        </w:rPr>
        <w:t>the sample for long-term measurement. The viscoelastic properties of the fibrin networks during polymerization were monitored dynamically by exerting a constant oscillatory shear strain with a maximum amplitude (</w:t>
      </w:r>
      <w:r>
        <w:rPr>
          <w:i/>
          <w:iCs/>
          <w:lang w:val="en-US"/>
        </w:rPr>
        <w:t>γ</w:t>
      </w:r>
      <w:r>
        <w:rPr>
          <w:lang w:val="en-US"/>
        </w:rPr>
        <w:t>) of 0.5 % and frequency (</w:t>
      </w:r>
      <w:r>
        <w:rPr>
          <w:i/>
          <w:iCs/>
          <w:lang w:val="en-US"/>
        </w:rPr>
        <w:t>f</w:t>
      </w:r>
      <w:r>
        <w:rPr>
          <w:lang w:val="en-US"/>
        </w:rPr>
        <w:t>) of 0.5 Hz. The storage modulus (</w:t>
      </w:r>
      <w:r>
        <w:rPr>
          <w:i/>
          <w:lang w:val="en-US"/>
        </w:rPr>
        <w:t>G</w:t>
      </w:r>
      <w:r>
        <w:rPr>
          <w:i/>
          <w:iCs/>
          <w:lang w:val="en-US"/>
        </w:rPr>
        <w:t>'</w:t>
      </w:r>
      <w:r>
        <w:rPr>
          <w:lang w:val="en-US"/>
        </w:rPr>
        <w:t>), loss modulus (</w:t>
      </w:r>
      <w:r>
        <w:rPr>
          <w:i/>
          <w:lang w:val="en-US"/>
        </w:rPr>
        <w:t>G</w:t>
      </w:r>
      <w:r>
        <w:rPr>
          <w:i/>
          <w:iCs/>
          <w:lang w:val="en-US"/>
        </w:rPr>
        <w:t>''</w:t>
      </w:r>
      <w:r>
        <w:rPr>
          <w:lang w:val="en-US"/>
        </w:rPr>
        <w:t>), and loss factor (</w:t>
      </w:r>
      <w:proofErr w:type="spellStart"/>
      <w:r>
        <w:rPr>
          <w:bCs/>
          <w:i/>
          <w:iCs/>
          <w:lang w:val="en-US"/>
        </w:rPr>
        <w:t>tanδ</w:t>
      </w:r>
      <w:proofErr w:type="spellEnd"/>
      <w:r>
        <w:rPr>
          <w:lang w:val="en-US"/>
        </w:rPr>
        <w:t>) were monitored continuously for 6–24 hours until stable properties were achieved. The endpoint storage modulus (</w:t>
      </w:r>
      <w:r>
        <w:rPr>
          <w:i/>
          <w:lang w:val="en-US"/>
        </w:rPr>
        <w:t>G</w:t>
      </w:r>
      <w:r>
        <w:rPr>
          <w:i/>
          <w:iCs/>
          <w:lang w:val="en-US"/>
        </w:rPr>
        <w:t>'</w:t>
      </w:r>
      <w:r>
        <w:rPr>
          <w:lang w:val="en-US"/>
        </w:rPr>
        <w:t>) or loss factor (</w:t>
      </w:r>
      <w:proofErr w:type="spellStart"/>
      <w:r>
        <w:rPr>
          <w:bCs/>
          <w:i/>
          <w:iCs/>
          <w:lang w:val="en-US"/>
        </w:rPr>
        <w:t>tanδ</w:t>
      </w:r>
      <w:proofErr w:type="spellEnd"/>
      <w:r>
        <w:rPr>
          <w:lang w:val="en-US"/>
        </w:rPr>
        <w:t xml:space="preserve">) of each network was recorded as the matrix stiffness or loss factor of the individual network. </w:t>
      </w:r>
      <w:r>
        <w:rPr>
          <w:iCs/>
          <w:lang w:val="en-US"/>
        </w:rPr>
        <w:t xml:space="preserve">Gelation lag time of the fibrin network was measured as the time point when </w:t>
      </w:r>
      <w:r>
        <w:rPr>
          <w:i/>
          <w:iCs/>
          <w:lang w:val="en-US"/>
        </w:rPr>
        <w:t>G'</w:t>
      </w:r>
      <w:r>
        <w:rPr>
          <w:iCs/>
          <w:lang w:val="en-US"/>
        </w:rPr>
        <w:t xml:space="preserve"> of the respective network reached 5 Pa.</w:t>
      </w:r>
    </w:p>
    <w:bookmarkEnd w:id="0"/>
    <w:p w14:paraId="02F49E3B" w14:textId="77777777" w:rsidR="000D3657" w:rsidRDefault="000D3657" w:rsidP="000D3657">
      <w:pPr>
        <w:spacing w:line="480" w:lineRule="auto"/>
        <w:jc w:val="both"/>
        <w:rPr>
          <w:lang w:val="en-US"/>
        </w:rPr>
      </w:pPr>
      <w:r>
        <w:rPr>
          <w:bCs/>
          <w:i/>
          <w:iCs/>
          <w:lang w:val="en-US"/>
        </w:rPr>
        <w:t>Small and Ultra-Small Angle Neutron scattering.</w:t>
      </w:r>
      <w:r>
        <w:rPr>
          <w:lang w:val="en-US"/>
        </w:rPr>
        <w:t xml:space="preserve"> To determine the structural properties over the broad range of dimensions of the fibrin network down to the internal structure of the individual fibers, a combination of small angle neutron scattering (SANS) and ultra-small angle neutron scattering (USANS) techniques were employed.</w:t>
      </w:r>
    </w:p>
    <w:p w14:paraId="7D66F7F3" w14:textId="77777777" w:rsidR="000D3657" w:rsidRDefault="000D3657" w:rsidP="000D3657">
      <w:pPr>
        <w:spacing w:line="480" w:lineRule="auto"/>
        <w:jc w:val="both"/>
        <w:rPr>
          <w:lang w:val="en-US"/>
        </w:rPr>
      </w:pPr>
      <w:r>
        <w:rPr>
          <w:i/>
          <w:lang w:val="en-US"/>
        </w:rPr>
        <w:t>Fibrin sample preparation</w:t>
      </w:r>
      <w:r>
        <w:rPr>
          <w:lang w:val="en-US"/>
        </w:rPr>
        <w:t>. Purified fibrinogen (B4) was dialyzed against the deuterated dialysis buffer containing 20 m</w:t>
      </w:r>
      <w:r>
        <w:rPr>
          <w:vertAlign w:val="subscript"/>
          <w:lang w:val="en-US"/>
        </w:rPr>
        <w:t>M</w:t>
      </w:r>
      <w:r>
        <w:rPr>
          <w:lang w:val="en-US"/>
        </w:rPr>
        <w:t xml:space="preserve"> HEPES, 2 m</w:t>
      </w:r>
      <w:r>
        <w:rPr>
          <w:vertAlign w:val="subscript"/>
          <w:lang w:val="en-US"/>
        </w:rPr>
        <w:t>M</w:t>
      </w:r>
      <w:r>
        <w:rPr>
          <w:lang w:val="en-US"/>
        </w:rPr>
        <w:t xml:space="preserve"> sodium citrate, and 500 m</w:t>
      </w:r>
      <w:r>
        <w:rPr>
          <w:vertAlign w:val="subscript"/>
          <w:lang w:val="en-US"/>
        </w:rPr>
        <w:t>M</w:t>
      </w:r>
      <w:r>
        <w:rPr>
          <w:lang w:val="en-US"/>
        </w:rPr>
        <w:t xml:space="preserve"> NaCl in 90% D</w:t>
      </w:r>
      <w:r>
        <w:rPr>
          <w:vertAlign w:val="subscript"/>
          <w:lang w:val="en-US"/>
        </w:rPr>
        <w:t>2</w:t>
      </w:r>
      <w:r>
        <w:rPr>
          <w:lang w:val="en-US"/>
        </w:rPr>
        <w:t>O at room temperature for 12 h before the SANS/USANS measurements. After completion of the dialysis, the above-described fibrin formation protocol was followed, where a 90% D</w:t>
      </w:r>
      <w:r>
        <w:rPr>
          <w:vertAlign w:val="subscript"/>
          <w:lang w:val="en-US"/>
        </w:rPr>
        <w:t>2</w:t>
      </w:r>
      <w:r>
        <w:rPr>
          <w:lang w:val="en-US"/>
        </w:rPr>
        <w:t xml:space="preserve">O/10% </w:t>
      </w:r>
      <w:r>
        <w:rPr>
          <w:lang w:val="en-US"/>
        </w:rPr>
        <w:lastRenderedPageBreak/>
        <w:t>H</w:t>
      </w:r>
      <w:r>
        <w:rPr>
          <w:vertAlign w:val="subscript"/>
          <w:lang w:val="en-US"/>
        </w:rPr>
        <w:t>2</w:t>
      </w:r>
      <w:r>
        <w:rPr>
          <w:lang w:val="en-US"/>
        </w:rPr>
        <w:t>O mixture was used as the solvent for all the components. The pre-heating time of the reagents before initiation varied from 5 to 10 min. After loading into the SANS/USANS cells/sample holders, samples were incubated at 37 °C for at least 2 hours before the commencement of the neutron scattering measurements, to ensure the full network formation.</w:t>
      </w:r>
    </w:p>
    <w:p w14:paraId="72432029" w14:textId="1AFE5E43" w:rsidR="000D3657" w:rsidRDefault="000D3657" w:rsidP="000D3657">
      <w:pPr>
        <w:spacing w:line="480" w:lineRule="auto"/>
        <w:jc w:val="both"/>
        <w:rPr>
          <w:lang w:val="en-US"/>
        </w:rPr>
      </w:pPr>
      <w:r>
        <w:rPr>
          <w:i/>
          <w:lang w:val="en-US"/>
        </w:rPr>
        <w:t xml:space="preserve">SANS/USANS measurements. </w:t>
      </w:r>
      <w:r>
        <w:rPr>
          <w:lang w:val="en-US"/>
        </w:rPr>
        <w:t xml:space="preserve">Both small angle neutron scattering (SANS, </w:t>
      </w:r>
      <w:proofErr w:type="gramStart"/>
      <w:r>
        <w:rPr>
          <w:lang w:val="en-US"/>
        </w:rPr>
        <w:t>QUOKKA)</w:t>
      </w:r>
      <w:r>
        <w:rPr>
          <w:noProof/>
          <w:vertAlign w:val="superscript"/>
          <w:lang w:val="en-US"/>
        </w:rPr>
        <w:t>[</w:t>
      </w:r>
      <w:proofErr w:type="gramEnd"/>
      <w:r w:rsidR="00713229">
        <w:rPr>
          <w:noProof/>
          <w:vertAlign w:val="superscript"/>
          <w:lang w:val="en-US"/>
        </w:rPr>
        <w:t>3</w:t>
      </w:r>
      <w:r>
        <w:rPr>
          <w:noProof/>
          <w:vertAlign w:val="superscript"/>
          <w:lang w:val="en-US"/>
        </w:rPr>
        <w:t>]</w:t>
      </w:r>
      <w:r>
        <w:rPr>
          <w:lang w:val="en-US"/>
        </w:rPr>
        <w:t xml:space="preserve"> and ultra-small angle neutron scattering (USANS, KOOKABURRA)</w:t>
      </w:r>
      <w:r>
        <w:rPr>
          <w:noProof/>
          <w:vertAlign w:val="superscript"/>
          <w:lang w:val="en-US"/>
        </w:rPr>
        <w:t>[</w:t>
      </w:r>
      <w:r w:rsidR="00713229">
        <w:rPr>
          <w:noProof/>
          <w:vertAlign w:val="superscript"/>
          <w:lang w:val="en-US"/>
        </w:rPr>
        <w:t>4</w:t>
      </w:r>
      <w:r>
        <w:rPr>
          <w:noProof/>
          <w:vertAlign w:val="superscript"/>
          <w:lang w:val="en-US"/>
        </w:rPr>
        <w:t>]</w:t>
      </w:r>
      <w:r>
        <w:rPr>
          <w:lang w:val="en-US"/>
        </w:rPr>
        <w:t xml:space="preserve"> measurements were carried out at the OPAL reactor at the Australian Nuclear Science and Technology </w:t>
      </w:r>
      <w:proofErr w:type="spellStart"/>
      <w:r>
        <w:rPr>
          <w:lang w:val="en-US"/>
        </w:rPr>
        <w:t>Organisation</w:t>
      </w:r>
      <w:proofErr w:type="spellEnd"/>
      <w:r>
        <w:rPr>
          <w:lang w:val="en-US"/>
        </w:rPr>
        <w:t xml:space="preserve"> (ANSTO, Lucas Heights, Sydney, Australia). SANS measurements on QUOKKA covered a q range from 6</w:t>
      </w:r>
      <w:r>
        <w:rPr>
          <w:iCs/>
          <w:lang w:val="en-US"/>
        </w:rPr>
        <w:t>×</w:t>
      </w:r>
      <w:r>
        <w:rPr>
          <w:lang w:val="en-US"/>
        </w:rPr>
        <w:t>10</w:t>
      </w:r>
      <w:r>
        <w:rPr>
          <w:vertAlign w:val="superscript"/>
          <w:lang w:val="en-US"/>
        </w:rPr>
        <w:t>–4</w:t>
      </w:r>
      <w:r>
        <w:rPr>
          <w:lang w:val="en-US"/>
        </w:rPr>
        <w:t xml:space="preserve"> to 0.5 Å</w:t>
      </w:r>
      <w:r>
        <w:rPr>
          <w:vertAlign w:val="superscript"/>
          <w:lang w:val="en-US"/>
        </w:rPr>
        <w:t>-1</w:t>
      </w:r>
      <w:r>
        <w:rPr>
          <w:lang w:val="en-US"/>
        </w:rPr>
        <w:t xml:space="preserve">, using the incident beam with wavelengths of 6 Å and 9.63 Å (focusing optics) with a resolution of 10%. q is the magnitude of the scattering vector and is defined as </w:t>
      </w:r>
      <m:oMath>
        <m:r>
          <w:rPr>
            <w:rFonts w:ascii="Cambria Math" w:hAnsi="Cambria Math"/>
            <w:lang w:val="en-US"/>
          </w:rPr>
          <m:t>q=4π</m:t>
        </m:r>
        <m:func>
          <m:funcPr>
            <m:ctrlPr>
              <w:rPr>
                <w:rFonts w:ascii="Cambria Math" w:hAnsi="Cambria Math"/>
                <w:lang w:val="en-US"/>
              </w:rPr>
            </m:ctrlPr>
          </m:funcPr>
          <m:fName>
            <m:r>
              <m:rPr>
                <m:sty m:val="p"/>
              </m:rPr>
              <w:rPr>
                <w:rFonts w:ascii="Cambria Math" w:hAnsi="Cambria Math"/>
                <w:lang w:val="en-US"/>
              </w:rPr>
              <m:t>sin</m:t>
            </m:r>
          </m:fName>
          <m:e>
            <m:d>
              <m:dPr>
                <m:ctrlPr>
                  <w:rPr>
                    <w:rFonts w:ascii="Cambria Math" w:hAnsi="Cambria Math"/>
                    <w:i/>
                    <w:lang w:val="en-US"/>
                  </w:rPr>
                </m:ctrlPr>
              </m:dPr>
              <m:e>
                <m:r>
                  <w:rPr>
                    <w:rFonts w:ascii="Cambria Math" w:hAnsi="Cambria Math"/>
                    <w:lang w:val="en-US"/>
                  </w:rPr>
                  <m:t>θ</m:t>
                </m:r>
              </m:e>
            </m:d>
            <m:r>
              <w:rPr>
                <w:rFonts w:ascii="Cambria Math" w:hAnsi="Cambria Math"/>
                <w:lang w:val="en-US"/>
              </w:rPr>
              <m:t>/</m:t>
            </m:r>
          </m:e>
        </m:func>
        <m:r>
          <w:rPr>
            <w:rFonts w:ascii="Cambria Math" w:hAnsi="Cambria Math"/>
            <w:lang w:val="en-US"/>
          </w:rPr>
          <m:t>λ</m:t>
        </m:r>
      </m:oMath>
      <w:r>
        <w:rPr>
          <w:lang w:val="en-US"/>
        </w:rPr>
        <w:t>, where</w:t>
      </w:r>
      <m:oMath>
        <m:r>
          <w:rPr>
            <w:rFonts w:ascii="Cambria Math" w:hAnsi="Cambria Math"/>
            <w:lang w:val="en-US"/>
          </w:rPr>
          <m:t xml:space="preserve"> θ</m:t>
        </m:r>
      </m:oMath>
      <w:r>
        <w:rPr>
          <w:lang w:val="en-US"/>
        </w:rPr>
        <w:t xml:space="preserve"> and </w:t>
      </w:r>
      <m:oMath>
        <m:r>
          <w:rPr>
            <w:rFonts w:ascii="Cambria Math" w:hAnsi="Cambria Math"/>
            <w:lang w:val="en-US"/>
          </w:rPr>
          <m:t>λ</m:t>
        </m:r>
      </m:oMath>
      <w:r>
        <w:rPr>
          <w:lang w:val="en-US"/>
        </w:rPr>
        <w:t xml:space="preserve"> denote half the scattering angle and wavelength respectively. Measurements were conducted at three instrument configurations with source-to-sample (SSD) and sample-to-detector distances (SDD) of SSD = SDD = 20 m (standard and </w:t>
      </w:r>
      <w:proofErr w:type="spellStart"/>
      <w:r>
        <w:rPr>
          <w:lang w:val="en-US"/>
        </w:rPr>
        <w:t>focussing</w:t>
      </w:r>
      <w:proofErr w:type="spellEnd"/>
      <w:r>
        <w:rPr>
          <w:lang w:val="en-US"/>
        </w:rPr>
        <w:t>); SSD = SDD = 8 m and SSD = 4 m and SDD = 1.3 m with the latter employing a 300 mm lateral detector offset. Source and sample aperture diameters were 50 mm and 12.5 mm respectively. Samples were prepared in quartz cuvettes of 2 mm thickness. USANS measurements were conducted on the KOOKABURRA double-crystal diffractometer using a Gd aperture (29 mm in diameter) with a neutron wavelength of 4.74 Å, which extended the q range down to 4</w:t>
      </w:r>
      <w:r>
        <w:rPr>
          <w:iCs/>
          <w:lang w:val="en-US"/>
        </w:rPr>
        <w:t>×</w:t>
      </w:r>
      <w:r>
        <w:rPr>
          <w:lang w:val="en-US"/>
        </w:rPr>
        <w:t>10</w:t>
      </w:r>
      <w:r>
        <w:rPr>
          <w:vertAlign w:val="superscript"/>
          <w:lang w:val="en-US"/>
        </w:rPr>
        <w:t>–5</w:t>
      </w:r>
      <w:r>
        <w:rPr>
          <w:lang w:val="en-US"/>
        </w:rPr>
        <w:t xml:space="preserve"> Å</w:t>
      </w:r>
      <w:r>
        <w:rPr>
          <w:vertAlign w:val="superscript"/>
          <w:lang w:val="en-US"/>
        </w:rPr>
        <w:t>-1</w:t>
      </w:r>
      <w:r>
        <w:rPr>
          <w:lang w:val="en-US"/>
        </w:rPr>
        <w:t>. All the measurements were conducted at 37 °C. SANS data were reduced to absolute values and the reduced slit-smeared USANS data were ‘</w:t>
      </w:r>
      <w:proofErr w:type="spellStart"/>
      <w:r>
        <w:rPr>
          <w:lang w:val="en-US"/>
        </w:rPr>
        <w:t>desmeared</w:t>
      </w:r>
      <w:proofErr w:type="spellEnd"/>
      <w:r>
        <w:rPr>
          <w:lang w:val="en-US"/>
        </w:rPr>
        <w:t xml:space="preserve">’ using the Lake </w:t>
      </w:r>
      <w:proofErr w:type="gramStart"/>
      <w:r>
        <w:rPr>
          <w:lang w:val="en-US"/>
        </w:rPr>
        <w:t>algorithm</w:t>
      </w:r>
      <w:r>
        <w:rPr>
          <w:noProof/>
          <w:vertAlign w:val="superscript"/>
          <w:lang w:val="en-US"/>
        </w:rPr>
        <w:t>[</w:t>
      </w:r>
      <w:proofErr w:type="gramEnd"/>
      <w:r w:rsidR="00713229">
        <w:rPr>
          <w:noProof/>
          <w:vertAlign w:val="superscript"/>
          <w:lang w:val="en-US"/>
        </w:rPr>
        <w:t>5</w:t>
      </w:r>
      <w:r>
        <w:rPr>
          <w:noProof/>
          <w:vertAlign w:val="superscript"/>
          <w:lang w:val="en-US"/>
        </w:rPr>
        <w:t>]</w:t>
      </w:r>
      <w:r>
        <w:rPr>
          <w:lang w:val="en-US"/>
        </w:rPr>
        <w:t xml:space="preserve"> before merging with the QUOKKA data.</w:t>
      </w:r>
      <w:r w:rsidR="00A322B8">
        <w:rPr>
          <w:noProof/>
          <w:vertAlign w:val="superscript"/>
          <w:lang w:val="en-US"/>
        </w:rPr>
        <w:t>[6]</w:t>
      </w:r>
      <w:r>
        <w:rPr>
          <w:lang w:val="en-US"/>
        </w:rPr>
        <w:t xml:space="preserve"> Combined SANS and USANS scattering curves were plotted after subtracting the incoherent background from the raw data. All fitting and analysis were performed using the </w:t>
      </w:r>
      <w:proofErr w:type="spellStart"/>
      <w:r>
        <w:rPr>
          <w:lang w:val="en-US"/>
        </w:rPr>
        <w:t>SASView</w:t>
      </w:r>
      <w:proofErr w:type="spellEnd"/>
      <w:r>
        <w:rPr>
          <w:lang w:val="en-US"/>
        </w:rPr>
        <w:t xml:space="preserve"> software instructed by other fundamental works on the neutron scattering analysis of fibrin </w:t>
      </w:r>
      <w:proofErr w:type="gramStart"/>
      <w:r>
        <w:rPr>
          <w:lang w:val="en-US"/>
        </w:rPr>
        <w:t>gels.</w:t>
      </w:r>
      <w:r w:rsidR="00127A24">
        <w:rPr>
          <w:noProof/>
          <w:vertAlign w:val="superscript"/>
          <w:lang w:val="en-US"/>
        </w:rPr>
        <w:t>[</w:t>
      </w:r>
      <w:proofErr w:type="gramEnd"/>
      <w:r w:rsidR="00127A24">
        <w:rPr>
          <w:noProof/>
          <w:vertAlign w:val="superscript"/>
          <w:lang w:val="en-US"/>
        </w:rPr>
        <w:t>7, 8]</w:t>
      </w:r>
      <w:r>
        <w:rPr>
          <w:lang w:val="en-US"/>
        </w:rPr>
        <w:t xml:space="preserve"> Scattering length density (SLD) was calculated using a protein neutron scattering length density calculator </w:t>
      </w:r>
      <w:r>
        <w:rPr>
          <w:lang w:val="en-US"/>
        </w:rPr>
        <w:lastRenderedPageBreak/>
        <w:t>program (Science and Technology Facilities Council (STFC))</w:t>
      </w:r>
      <w:r>
        <w:rPr>
          <w:noProof/>
          <w:vertAlign w:val="superscript"/>
          <w:lang w:val="en-US"/>
        </w:rPr>
        <w:t>[</w:t>
      </w:r>
      <w:r w:rsidR="00D22877">
        <w:rPr>
          <w:noProof/>
          <w:vertAlign w:val="superscript"/>
          <w:lang w:val="en-US"/>
        </w:rPr>
        <w:t>9</w:t>
      </w:r>
      <w:r>
        <w:rPr>
          <w:noProof/>
          <w:vertAlign w:val="superscript"/>
          <w:lang w:val="en-US"/>
        </w:rPr>
        <w:t>]</w:t>
      </w:r>
      <w:r>
        <w:rPr>
          <w:lang w:val="en-US"/>
        </w:rPr>
        <w:t>. Specifically, the average fiber radius (</w:t>
      </w:r>
      <w:r>
        <w:rPr>
          <w:i/>
          <w:lang w:val="en-US"/>
        </w:rPr>
        <w:t>R</w:t>
      </w:r>
      <w:r>
        <w:rPr>
          <w:lang w:val="en-US"/>
        </w:rPr>
        <w:t xml:space="preserve">) was calculated using Guinier analysis according to Equation 1 and 2, where I(Q) </w:t>
      </w:r>
      <w:proofErr w:type="gramStart"/>
      <w:r>
        <w:rPr>
          <w:lang w:val="en-US"/>
        </w:rPr>
        <w:t>is</w:t>
      </w:r>
      <w:proofErr w:type="gramEnd"/>
      <w:r>
        <w:rPr>
          <w:lang w:val="en-US"/>
        </w:rPr>
        <w:t xml:space="preserve"> the scattering intensity at scattering vector (Q) and </w:t>
      </w:r>
      <w:proofErr w:type="spellStart"/>
      <w:r>
        <w:rPr>
          <w:i/>
          <w:lang w:val="en-US"/>
        </w:rPr>
        <w:t>Rg</w:t>
      </w:r>
      <w:proofErr w:type="spellEnd"/>
      <w:r>
        <w:rPr>
          <w:lang w:val="en-US"/>
        </w:rPr>
        <w:t xml:space="preserve"> is the radius of gyration.</w:t>
      </w:r>
    </w:p>
    <w:p w14:paraId="1435B19E" w14:textId="77777777" w:rsidR="000D3657" w:rsidRDefault="000D3657" w:rsidP="000D3657">
      <w:pPr>
        <w:spacing w:line="480" w:lineRule="auto"/>
        <w:jc w:val="both"/>
        <w:rPr>
          <w:lang w:val="en-US"/>
        </w:rPr>
      </w:pPr>
      <m:oMath>
        <m:r>
          <w:rPr>
            <w:rFonts w:ascii="Cambria Math" w:hAnsi="Cambria Math"/>
            <w:lang w:val="en-US"/>
          </w:rPr>
          <m:t>I</m:t>
        </m:r>
        <m:d>
          <m:dPr>
            <m:ctrlPr>
              <w:rPr>
                <w:rFonts w:ascii="Cambria Math" w:hAnsi="Cambria Math"/>
                <w:i/>
                <w:lang w:val="en-US"/>
              </w:rPr>
            </m:ctrlPr>
          </m:dPr>
          <m:e>
            <m:r>
              <w:rPr>
                <w:rFonts w:ascii="Cambria Math" w:hAnsi="Cambria Math"/>
                <w:lang w:val="en-US"/>
              </w:rPr>
              <m:t>Q</m:t>
            </m:r>
          </m:e>
        </m:d>
        <m:r>
          <w:rPr>
            <w:rFonts w:ascii="Cambria Math" w:hAnsi="Cambria Math"/>
            <w:lang w:val="en-US"/>
          </w:rPr>
          <m:t>=</m:t>
        </m:r>
        <m:f>
          <m:fPr>
            <m:ctrlPr>
              <w:rPr>
                <w:rFonts w:ascii="Cambria Math" w:hAnsi="Cambria Math"/>
                <w:i/>
                <w:lang w:val="en-US"/>
              </w:rPr>
            </m:ctrlPr>
          </m:fPr>
          <m:num>
            <m:r>
              <w:rPr>
                <w:rFonts w:ascii="Cambria Math" w:hAnsi="Cambria Math"/>
                <w:lang w:val="en-US"/>
              </w:rPr>
              <m:t>I</m:t>
            </m:r>
            <m:d>
              <m:dPr>
                <m:ctrlPr>
                  <w:rPr>
                    <w:rFonts w:ascii="Cambria Math" w:hAnsi="Cambria Math"/>
                    <w:i/>
                    <w:lang w:val="en-US"/>
                  </w:rPr>
                </m:ctrlPr>
              </m:dPr>
              <m:e>
                <m:r>
                  <w:rPr>
                    <w:rFonts w:ascii="Cambria Math" w:hAnsi="Cambria Math"/>
                    <w:lang w:val="en-US"/>
                  </w:rPr>
                  <m:t>0</m:t>
                </m:r>
              </m:e>
            </m:d>
          </m:num>
          <m:den>
            <m:r>
              <w:rPr>
                <w:rFonts w:ascii="Cambria Math" w:hAnsi="Cambria Math"/>
                <w:lang w:val="en-US"/>
              </w:rPr>
              <m:t>Q</m:t>
            </m:r>
          </m:den>
        </m:f>
        <m:r>
          <w:rPr>
            <w:rFonts w:ascii="Cambria Math" w:hAnsi="Cambria Math"/>
            <w:lang w:val="en-US"/>
          </w:rPr>
          <m:t>exp</m:t>
        </m:r>
        <m:d>
          <m:dPr>
            <m:ctrlPr>
              <w:rPr>
                <w:rFonts w:ascii="Cambria Math" w:hAnsi="Cambria Math"/>
                <w:i/>
                <w:lang w:val="en-US"/>
              </w:rPr>
            </m:ctrlPr>
          </m:dPr>
          <m:e>
            <m:r>
              <w:rPr>
                <w:rFonts w:ascii="Cambria Math" w:hAnsi="Cambria Math"/>
                <w:lang w:val="en-US"/>
              </w:rPr>
              <m:t>-</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Q</m:t>
                    </m:r>
                  </m:e>
                  <m:sup>
                    <m:r>
                      <w:rPr>
                        <w:rFonts w:ascii="Cambria Math" w:hAnsi="Cambria Math"/>
                        <w:lang w:val="en-US"/>
                      </w:rPr>
                      <m:t>2</m:t>
                    </m:r>
                  </m:sup>
                </m:sSup>
                <m:sSup>
                  <m:sSupPr>
                    <m:ctrlPr>
                      <w:rPr>
                        <w:rFonts w:ascii="Cambria Math" w:hAnsi="Cambria Math"/>
                        <w:i/>
                        <w:lang w:val="en-US"/>
                      </w:rPr>
                    </m:ctrlPr>
                  </m:sSupPr>
                  <m:e>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g</m:t>
                        </m:r>
                      </m:sub>
                    </m:sSub>
                  </m:e>
                  <m:sup>
                    <m:r>
                      <w:rPr>
                        <w:rFonts w:ascii="Cambria Math" w:hAnsi="Cambria Math"/>
                        <w:lang w:val="en-US"/>
                      </w:rPr>
                      <m:t>2</m:t>
                    </m:r>
                  </m:sup>
                </m:sSup>
              </m:num>
              <m:den>
                <m:r>
                  <w:rPr>
                    <w:rFonts w:ascii="Cambria Math" w:hAnsi="Cambria Math"/>
                    <w:lang w:val="en-US"/>
                  </w:rPr>
                  <m:t>2</m:t>
                </m:r>
              </m:den>
            </m:f>
          </m:e>
        </m:d>
        <m:r>
          <w:rPr>
            <w:rFonts w:ascii="Cambria Math" w:hAnsi="Cambria Math"/>
            <w:lang w:val="en-US"/>
          </w:rPr>
          <m:t xml:space="preserve"> </m:t>
        </m:r>
      </m:oMath>
      <w:r>
        <w:rPr>
          <w:lang w:val="en-US"/>
        </w:rPr>
        <w:t xml:space="preserve">                                                                                                       (1)</w:t>
      </w:r>
    </w:p>
    <w:p w14:paraId="6AEBC374" w14:textId="77777777" w:rsidR="000D3657" w:rsidRDefault="000D3657" w:rsidP="000D3657">
      <w:pPr>
        <w:spacing w:line="480" w:lineRule="auto"/>
        <w:jc w:val="both"/>
        <w:rPr>
          <w:lang w:val="en-US"/>
        </w:rPr>
      </w:pPr>
      <m:oMath>
        <m:r>
          <w:rPr>
            <w:rFonts w:ascii="Cambria Math" w:hAnsi="Cambria Math"/>
            <w:lang w:val="en-US"/>
          </w:rPr>
          <m:t>R=Rg×</m:t>
        </m:r>
        <m:rad>
          <m:radPr>
            <m:degHide m:val="1"/>
            <m:ctrlPr>
              <w:rPr>
                <w:rFonts w:ascii="Cambria Math" w:hAnsi="Cambria Math"/>
                <w:i/>
                <w:lang w:val="en-US"/>
              </w:rPr>
            </m:ctrlPr>
          </m:radPr>
          <m:deg/>
          <m:e>
            <m:r>
              <w:rPr>
                <w:rFonts w:ascii="Cambria Math" w:hAnsi="Cambria Math"/>
                <w:lang w:val="en-US"/>
              </w:rPr>
              <m:t>2</m:t>
            </m:r>
          </m:e>
        </m:rad>
        <m:r>
          <w:rPr>
            <w:rFonts w:ascii="Cambria Math" w:hAnsi="Cambria Math"/>
            <w:lang w:val="en-US"/>
          </w:rPr>
          <m:t xml:space="preserve"> </m:t>
        </m:r>
      </m:oMath>
      <w:r>
        <w:rPr>
          <w:lang w:val="en-US"/>
        </w:rPr>
        <w:t xml:space="preserve">                                                                                                                           (2)</w:t>
      </w:r>
    </w:p>
    <w:p w14:paraId="71B616CC" w14:textId="2B726A56" w:rsidR="000D3657" w:rsidRDefault="000D3657" w:rsidP="000D3657">
      <w:pPr>
        <w:spacing w:line="480" w:lineRule="auto"/>
        <w:rPr>
          <w:lang w:val="en-US"/>
        </w:rPr>
      </w:pPr>
      <w:r>
        <w:rPr>
          <w:lang w:val="en-US"/>
        </w:rPr>
        <w:t>The volume fraction of the internal protofibrils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Int</m:t>
            </m:r>
          </m:sub>
        </m:sSub>
        <m:r>
          <w:rPr>
            <w:rFonts w:ascii="Cambria Math" w:hAnsi="Cambria Math"/>
            <w:lang w:val="en-US"/>
          </w:rPr>
          <m:t>)</m:t>
        </m:r>
      </m:oMath>
      <w:r>
        <w:rPr>
          <w:lang w:val="en-US"/>
        </w:rPr>
        <w:t xml:space="preserve"> was extracted by invariant analysis using Equation 3, where Q</w:t>
      </w:r>
      <w:r>
        <w:rPr>
          <w:vertAlign w:val="superscript"/>
          <w:lang w:val="en-US"/>
        </w:rPr>
        <w:t>*</w:t>
      </w:r>
      <w:r>
        <w:rPr>
          <w:lang w:val="en-US"/>
        </w:rPr>
        <w:t xml:space="preserve"> is the invariant of the high q </w:t>
      </w:r>
      <w:proofErr w:type="spellStart"/>
      <w:r>
        <w:rPr>
          <w:lang w:val="en-US"/>
        </w:rPr>
        <w:t>Porod</w:t>
      </w:r>
      <w:proofErr w:type="spellEnd"/>
      <w:r>
        <w:rPr>
          <w:lang w:val="en-US"/>
        </w:rPr>
        <w:t xml:space="preserve"> region.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Fib</m:t>
            </m:r>
          </m:sub>
        </m:sSub>
      </m:oMath>
      <w:r>
        <w:rPr>
          <w:lang w:val="en-US"/>
        </w:rPr>
        <w:t xml:space="preserve"> is the volume fraction of the total fibrinogen protein and was calculated as 0.003.</w:t>
      </w:r>
      <w:r>
        <w:rPr>
          <w:noProof/>
          <w:vertAlign w:val="superscript"/>
          <w:lang w:val="en-US"/>
        </w:rPr>
        <w:t>[</w:t>
      </w:r>
      <w:r w:rsidR="00D22877">
        <w:rPr>
          <w:noProof/>
          <w:vertAlign w:val="superscript"/>
          <w:lang w:val="en-US"/>
        </w:rPr>
        <w:t>10</w:t>
      </w:r>
      <w:r>
        <w:rPr>
          <w:noProof/>
          <w:vertAlign w:val="superscript"/>
          <w:lang w:val="en-US"/>
        </w:rPr>
        <w:t>]</w:t>
      </w:r>
    </w:p>
    <w:p w14:paraId="71959268" w14:textId="77777777" w:rsidR="000D3657" w:rsidRDefault="00A322B8" w:rsidP="000D3657">
      <w:pPr>
        <w:spacing w:line="480" w:lineRule="auto"/>
        <w:jc w:val="both"/>
        <w:rPr>
          <w:lang w:val="en-US"/>
        </w:rPr>
      </w:pPr>
      <m:oMath>
        <m:sSup>
          <m:sSupPr>
            <m:ctrlPr>
              <w:rPr>
                <w:rFonts w:ascii="Cambria Math" w:hAnsi="Cambria Math"/>
                <w:i/>
                <w:lang w:val="en-US"/>
              </w:rPr>
            </m:ctrlPr>
          </m:sSupPr>
          <m:e>
            <m:r>
              <w:rPr>
                <w:rFonts w:ascii="Cambria Math" w:hAnsi="Cambria Math"/>
                <w:lang w:val="en-US"/>
              </w:rPr>
              <m:t>Q</m:t>
            </m:r>
          </m:e>
          <m:sup>
            <m:r>
              <w:rPr>
                <w:rFonts w:ascii="Cambria Math" w:hAnsi="Cambria Math"/>
                <w:lang w:val="en-US"/>
              </w:rPr>
              <m:t>*</m:t>
            </m:r>
          </m:sup>
        </m:sSup>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m:t>
            </m:r>
          </m:sup>
          <m:e>
            <m:sSup>
              <m:sSupPr>
                <m:ctrlPr>
                  <w:rPr>
                    <w:rFonts w:ascii="Cambria Math" w:hAnsi="Cambria Math"/>
                    <w:i/>
                    <w:lang w:val="en-US"/>
                  </w:rPr>
                </m:ctrlPr>
              </m:sSupPr>
              <m:e>
                <m:r>
                  <w:rPr>
                    <w:rFonts w:ascii="Cambria Math" w:hAnsi="Cambria Math"/>
                    <w:lang w:val="en-US"/>
                  </w:rPr>
                  <m:t>q</m:t>
                </m:r>
              </m:e>
              <m:sup>
                <m:r>
                  <w:rPr>
                    <w:rFonts w:ascii="Cambria Math" w:hAnsi="Cambria Math"/>
                    <w:lang w:val="en-US"/>
                  </w:rPr>
                  <m:t>2</m:t>
                </m:r>
              </m:sup>
            </m:sSup>
            <m:sSup>
              <m:sSupPr>
                <m:ctrlPr>
                  <w:rPr>
                    <w:rFonts w:ascii="Cambria Math" w:hAnsi="Cambria Math"/>
                    <w:i/>
                    <w:lang w:val="en-US"/>
                  </w:rPr>
                </m:ctrlPr>
              </m:sSupPr>
              <m:e>
                <m:r>
                  <w:rPr>
                    <w:rFonts w:ascii="Cambria Math" w:hAnsi="Cambria Math"/>
                    <w:lang w:val="en-US"/>
                  </w:rPr>
                  <m:t>I</m:t>
                </m:r>
              </m:e>
              <m:sup>
                <m:r>
                  <w:rPr>
                    <w:rFonts w:ascii="Cambria Math" w:hAnsi="Cambria Math"/>
                    <w:lang w:val="en-US"/>
                  </w:rPr>
                  <m:t>*</m:t>
                </m:r>
              </m:sup>
            </m:sSup>
            <m:d>
              <m:dPr>
                <m:ctrlPr>
                  <w:rPr>
                    <w:rFonts w:ascii="Cambria Math" w:hAnsi="Cambria Math"/>
                    <w:i/>
                    <w:lang w:val="en-US"/>
                  </w:rPr>
                </m:ctrlPr>
              </m:dPr>
              <m:e>
                <m:r>
                  <w:rPr>
                    <w:rFonts w:ascii="Cambria Math" w:hAnsi="Cambria Math"/>
                    <w:lang w:val="en-US"/>
                  </w:rPr>
                  <m:t>q</m:t>
                </m:r>
              </m:e>
            </m:d>
            <m:r>
              <w:rPr>
                <w:rFonts w:ascii="Cambria Math" w:hAnsi="Cambria Math"/>
                <w:lang w:val="en-US"/>
              </w:rPr>
              <m:t>dq</m:t>
            </m:r>
          </m:e>
        </m:nary>
        <m:r>
          <w:rPr>
            <w:rFonts w:ascii="Cambria Math" w:hAnsi="Cambria Math"/>
            <w:lang w:val="en-US"/>
          </w:rPr>
          <m:t>= 2</m:t>
        </m:r>
        <m:sSup>
          <m:sSupPr>
            <m:ctrlPr>
              <w:rPr>
                <w:rFonts w:ascii="Cambria Math" w:hAnsi="Cambria Math"/>
                <w:i/>
                <w:lang w:val="en-US"/>
              </w:rPr>
            </m:ctrlPr>
          </m:sSupPr>
          <m:e>
            <m:r>
              <w:rPr>
                <w:rFonts w:ascii="Cambria Math" w:hAnsi="Cambria Math"/>
                <w:lang w:val="en-US"/>
              </w:rPr>
              <m:t>π</m:t>
            </m:r>
          </m:e>
          <m:sup>
            <m:r>
              <w:rPr>
                <w:rFonts w:ascii="Cambria Math" w:hAnsi="Cambria Math"/>
                <w:lang w:val="en-US"/>
              </w:rPr>
              <m:t>2</m:t>
            </m:r>
          </m:sup>
        </m:sSup>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Fib</m:t>
            </m:r>
          </m:sub>
        </m:sSub>
        <m:d>
          <m:dPr>
            <m:ctrlPr>
              <w:rPr>
                <w:rFonts w:ascii="Cambria Math" w:hAnsi="Cambria Math"/>
                <w:i/>
                <w:lang w:val="en-US"/>
              </w:rPr>
            </m:ctrlPr>
          </m:dPr>
          <m:e>
            <m:r>
              <w:rPr>
                <w:rFonts w:ascii="Cambria Math" w:hAnsi="Cambria Math"/>
                <w:lang w:val="en-US"/>
              </w:rPr>
              <m:t>1-</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Int</m:t>
                </m:r>
              </m:sub>
            </m:sSub>
          </m:e>
        </m:d>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∆ρ</m:t>
                </m:r>
              </m:e>
            </m:d>
          </m:e>
          <m:sup>
            <m:r>
              <w:rPr>
                <w:rFonts w:ascii="Cambria Math" w:hAnsi="Cambria Math"/>
                <w:lang w:val="en-US"/>
              </w:rPr>
              <m:t>2</m:t>
            </m:r>
          </m:sup>
        </m:sSup>
      </m:oMath>
      <w:r w:rsidR="000D3657">
        <w:rPr>
          <w:lang w:val="en-US"/>
        </w:rPr>
        <w:t xml:space="preserve">                                                                   (3)</w:t>
      </w:r>
    </w:p>
    <w:p w14:paraId="121E9B31" w14:textId="77777777" w:rsidR="000D3657" w:rsidRDefault="000D3657" w:rsidP="000D3657">
      <w:pPr>
        <w:spacing w:line="480" w:lineRule="auto"/>
        <w:jc w:val="both"/>
        <w:rPr>
          <w:lang w:val="en-US"/>
        </w:rPr>
      </w:pPr>
      <w:r>
        <w:rPr>
          <w:lang w:val="en-US"/>
        </w:rPr>
        <w:t>The specific surface area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v</m:t>
            </m:r>
          </m:sub>
        </m:sSub>
      </m:oMath>
      <w:r>
        <w:rPr>
          <w:lang w:val="en-US"/>
        </w:rPr>
        <w:t xml:space="preserve">) was calculated using Equation 4, where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oMath>
      <w:r>
        <w:rPr>
          <w:lang w:val="en-US"/>
        </w:rPr>
        <w:t xml:space="preserve"> is the Porod constant.</w:t>
      </w:r>
    </w:p>
    <w:p w14:paraId="3B346092" w14:textId="77777777" w:rsidR="000D3657" w:rsidRDefault="00A322B8" w:rsidP="000D3657">
      <w:pPr>
        <w:spacing w:line="480" w:lineRule="auto"/>
        <w:jc w:val="both"/>
        <w:rPr>
          <w:lang w:val="en-US"/>
        </w:rPr>
      </w:pP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v</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π</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Fib</m:t>
                </m:r>
              </m:sub>
            </m:sSub>
            <m:d>
              <m:dPr>
                <m:ctrlPr>
                  <w:rPr>
                    <w:rFonts w:ascii="Cambria Math" w:hAnsi="Cambria Math"/>
                    <w:i/>
                    <w:lang w:val="en-US"/>
                  </w:rPr>
                </m:ctrlPr>
              </m:dPr>
              <m:e>
                <m:r>
                  <w:rPr>
                    <w:rFonts w:ascii="Cambria Math" w:hAnsi="Cambria Math"/>
                    <w:lang w:val="en-US"/>
                  </w:rPr>
                  <m:t>1-</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Fib</m:t>
                    </m:r>
                  </m:sub>
                </m:sSub>
              </m:e>
            </m:d>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p</m:t>
                </m:r>
              </m:sub>
            </m:sSub>
          </m:num>
          <m:den>
            <m:sSup>
              <m:sSupPr>
                <m:ctrlPr>
                  <w:rPr>
                    <w:rFonts w:ascii="Cambria Math" w:hAnsi="Cambria Math"/>
                    <w:i/>
                    <w:lang w:val="en-US"/>
                  </w:rPr>
                </m:ctrlPr>
              </m:sSupPr>
              <m:e>
                <m:r>
                  <w:rPr>
                    <w:rFonts w:ascii="Cambria Math" w:hAnsi="Cambria Math"/>
                    <w:lang w:val="en-US"/>
                  </w:rPr>
                  <m:t>Q</m:t>
                </m:r>
              </m:e>
              <m:sup>
                <m:r>
                  <w:rPr>
                    <w:rFonts w:ascii="Cambria Math" w:hAnsi="Cambria Math"/>
                    <w:lang w:val="en-US"/>
                  </w:rPr>
                  <m:t>*</m:t>
                </m:r>
              </m:sup>
            </m:sSup>
          </m:den>
        </m:f>
      </m:oMath>
      <w:r w:rsidR="000D3657">
        <w:rPr>
          <w:lang w:val="en-US"/>
        </w:rPr>
        <w:t xml:space="preserve">                                                                                                                  (4)</w:t>
      </w:r>
    </w:p>
    <w:p w14:paraId="63699C99" w14:textId="77777777" w:rsidR="000D3657" w:rsidRDefault="000D3657" w:rsidP="000D3657">
      <w:pPr>
        <w:spacing w:line="480" w:lineRule="auto"/>
        <w:rPr>
          <w:lang w:val="en-US"/>
        </w:rPr>
      </w:pPr>
      <w:r>
        <w:rPr>
          <w:lang w:val="en-US"/>
        </w:rPr>
        <w:t xml:space="preserve">The average number of protofibrils per fiber (Np) was calculated using Equation 5, where </w:t>
      </w:r>
      <m:oMath>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Fibre</m:t>
            </m:r>
          </m:sub>
        </m:sSub>
      </m:oMath>
      <w:r>
        <w:rPr>
          <w:lang w:val="en-US"/>
        </w:rPr>
        <w:t xml:space="preserve"> is the mass-length ratio of a fiber; </w:t>
      </w:r>
      <m:oMath>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P</m:t>
            </m:r>
          </m:sub>
        </m:sSub>
      </m:oMath>
      <w:r>
        <w:rPr>
          <w:lang w:val="en-US"/>
        </w:rPr>
        <w:t xml:space="preserve"> is the mass-length ratio of a protofibril (340 kDa / 22.5 nm); </w:t>
      </w:r>
      <m:oMath>
        <m:r>
          <w:rPr>
            <w:rFonts w:ascii="Cambria Math" w:hAnsi="Cambria Math"/>
            <w:lang w:val="en-US"/>
          </w:rPr>
          <m:t>ρ</m:t>
        </m:r>
      </m:oMath>
      <w:r>
        <w:rPr>
          <w:lang w:val="en-US"/>
        </w:rPr>
        <w:t xml:space="preserve"> is the density of fibrinogen protein (1.395 g mL</w:t>
      </w:r>
      <w:r>
        <w:rPr>
          <w:bCs/>
          <w:vertAlign w:val="superscript"/>
          <w:lang w:val="en-US"/>
        </w:rPr>
        <w:t>-1</w:t>
      </w:r>
      <w:r>
        <w:rPr>
          <w:lang w:val="en-US"/>
        </w:rPr>
        <w:t>) and R is the average fiber.</w:t>
      </w:r>
    </w:p>
    <w:p w14:paraId="65A9986F" w14:textId="77777777" w:rsidR="000D3657" w:rsidRDefault="000D3657" w:rsidP="000D3657">
      <w:pPr>
        <w:spacing w:line="480" w:lineRule="auto"/>
        <w:rPr>
          <w:lang w:val="en-US"/>
        </w:rPr>
      </w:pPr>
      <m:oMath>
        <m:r>
          <w:rPr>
            <w:rFonts w:ascii="Cambria Math" w:hAnsi="Cambria Math"/>
            <w:lang w:val="en-US"/>
          </w:rPr>
          <m:t>Np</m:t>
        </m:r>
        <m:r>
          <m:rPr>
            <m:sty m:val="p"/>
          </m:rPr>
          <w:rPr>
            <w:rFonts w:ascii="Cambria Math" w:hAnsi="Cambria Math"/>
            <w:lang w:val="en-US"/>
          </w:rPr>
          <m:t>=</m:t>
        </m:r>
        <m:f>
          <m:fPr>
            <m:ctrlPr>
              <w:rPr>
                <w:rFonts w:ascii="Cambria Math" w:hAnsi="Cambria Math"/>
                <w:lang w:val="en-US"/>
              </w:rPr>
            </m:ctrlPr>
          </m:fPr>
          <m:num>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Fibre</m:t>
                </m:r>
              </m:sub>
            </m:sSub>
          </m:num>
          <m:den>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P</m:t>
                </m:r>
              </m:sub>
            </m:sSub>
          </m:den>
        </m:f>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Int</m:t>
                </m:r>
              </m:sub>
            </m:sSub>
            <m:r>
              <w:rPr>
                <w:rFonts w:ascii="Cambria Math" w:hAnsi="Cambria Math"/>
                <w:lang w:val="en-US"/>
              </w:rPr>
              <m:t>ρ</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2</m:t>
                </m:r>
              </m:sup>
            </m:sSup>
          </m:num>
          <m:den>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P</m:t>
                </m:r>
              </m:sub>
            </m:sSub>
          </m:den>
        </m:f>
      </m:oMath>
      <w:r>
        <w:rPr>
          <w:lang w:val="en-US"/>
        </w:rPr>
        <w:t xml:space="preserve">                                                                                                              (5)</w:t>
      </w:r>
    </w:p>
    <w:p w14:paraId="3649C805" w14:textId="77777777" w:rsidR="000D3657" w:rsidRDefault="000D3657" w:rsidP="000D3657">
      <w:pPr>
        <w:spacing w:line="480" w:lineRule="auto"/>
        <w:jc w:val="both"/>
        <w:rPr>
          <w:lang w:val="en-US"/>
        </w:rPr>
      </w:pPr>
      <w:r>
        <w:rPr>
          <w:lang w:val="en-US"/>
        </w:rPr>
        <w:t>The fractal dimension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f</m:t>
            </m:r>
          </m:sub>
        </m:sSub>
      </m:oMath>
      <w:r>
        <w:rPr>
          <w:lang w:val="en-US"/>
        </w:rPr>
        <w:t>) and correlation length (</w:t>
      </w:r>
      <m:oMath>
        <m:r>
          <w:rPr>
            <w:rFonts w:ascii="Cambria Math" w:hAnsi="Cambria Math"/>
            <w:lang w:val="en-US"/>
          </w:rPr>
          <m:t>ξ</m:t>
        </m:r>
      </m:oMath>
      <w:r>
        <w:rPr>
          <w:lang w:val="en-US"/>
        </w:rPr>
        <w:t>) were extracted according to Equation 6, where S(q) is the structure factor.</w:t>
      </w:r>
    </w:p>
    <w:p w14:paraId="478B3EA8" w14:textId="77777777" w:rsidR="000D3657" w:rsidRDefault="000D3657" w:rsidP="000D3657">
      <w:pPr>
        <w:spacing w:line="480" w:lineRule="auto"/>
        <w:jc w:val="both"/>
        <w:rPr>
          <w:lang w:val="en-US"/>
        </w:rPr>
      </w:pPr>
      <m:oMath>
        <m:r>
          <m:rPr>
            <m:sty m:val="p"/>
          </m:rPr>
          <w:rPr>
            <w:rFonts w:ascii="Cambria Math" w:hAnsi="Cambria Math"/>
            <w:lang w:val="en-US"/>
          </w:rPr>
          <m:t>S</m:t>
        </m:r>
        <m:d>
          <m:dPr>
            <m:ctrlPr>
              <w:rPr>
                <w:rFonts w:ascii="Cambria Math" w:hAnsi="Cambria Math"/>
                <w:lang w:val="en-US"/>
              </w:rPr>
            </m:ctrlPr>
          </m:dPr>
          <m:e>
            <m:r>
              <m:rPr>
                <m:sty m:val="p"/>
              </m:rPr>
              <w:rPr>
                <w:rFonts w:ascii="Cambria Math" w:hAnsi="Cambria Math"/>
                <w:lang w:val="en-US"/>
              </w:rPr>
              <m:t>q</m:t>
            </m:r>
          </m:e>
        </m:d>
        <m:r>
          <m:rPr>
            <m:sty m:val="p"/>
          </m:rPr>
          <w:rPr>
            <w:rFonts w:ascii="Cambria Math" w:hAnsi="Cambria Math"/>
            <w:lang w:val="en-US"/>
          </w:rPr>
          <m:t>=1+</m:t>
        </m:r>
        <m:f>
          <m:fPr>
            <m:ctrlPr>
              <w:rPr>
                <w:rFonts w:ascii="Cambria Math" w:hAnsi="Cambria Math"/>
                <w:i/>
                <w:lang w:val="en-US"/>
              </w:rPr>
            </m:ctrlPr>
          </m:fPr>
          <m:num>
            <m:r>
              <w:rPr>
                <w:rFonts w:ascii="Cambria Math" w:hAnsi="Cambria Math"/>
                <w:lang w:val="en-US"/>
              </w:rPr>
              <m:t>3</m:t>
            </m:r>
            <m:d>
              <m:dPr>
                <m:ctrlPr>
                  <w:rPr>
                    <w:rFonts w:ascii="Cambria Math" w:hAnsi="Cambria Math"/>
                    <w:i/>
                    <w:lang w:val="en-US"/>
                  </w:rPr>
                </m:ctrlPr>
              </m:dPr>
              <m:e>
                <m:func>
                  <m:funcPr>
                    <m:ctrlPr>
                      <w:rPr>
                        <w:rFonts w:ascii="Cambria Math" w:hAnsi="Cambria Math"/>
                        <w:lang w:val="en-US"/>
                      </w:rPr>
                    </m:ctrlPr>
                  </m:funcPr>
                  <m:fName>
                    <m:r>
                      <m:rPr>
                        <m:sty m:val="p"/>
                      </m:rPr>
                      <w:rPr>
                        <w:rFonts w:ascii="Cambria Math" w:hAnsi="Cambria Math"/>
                        <w:lang w:val="en-US"/>
                      </w:rPr>
                      <m:t>sin</m:t>
                    </m:r>
                    <m:ctrlPr>
                      <w:rPr>
                        <w:rFonts w:ascii="Cambria Math" w:hAnsi="Cambria Math"/>
                        <w:i/>
                        <w:lang w:val="en-US"/>
                      </w:rPr>
                    </m:ctrlPr>
                  </m:fName>
                  <m:e>
                    <m:d>
                      <m:dPr>
                        <m:ctrlPr>
                          <w:rPr>
                            <w:rFonts w:ascii="Cambria Math" w:hAnsi="Cambria Math"/>
                            <w:i/>
                            <w:lang w:val="en-US"/>
                          </w:rPr>
                        </m:ctrlPr>
                      </m:dPr>
                      <m:e>
                        <m:r>
                          <w:rPr>
                            <w:rFonts w:ascii="Cambria Math" w:hAnsi="Cambria Math"/>
                            <w:lang w:val="en-US"/>
                          </w:rPr>
                          <m:t>q</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e>
                    </m:d>
                  </m:e>
                </m:func>
                <m:r>
                  <w:rPr>
                    <w:rFonts w:ascii="Cambria Math" w:hAnsi="Cambria Math"/>
                    <w:lang w:val="en-US"/>
                  </w:rPr>
                  <m:t>-q</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func>
                  <m:funcPr>
                    <m:ctrlPr>
                      <w:rPr>
                        <w:rFonts w:ascii="Cambria Math" w:hAnsi="Cambria Math"/>
                        <w:lang w:val="en-US"/>
                      </w:rPr>
                    </m:ctrlPr>
                  </m:funcPr>
                  <m:fName>
                    <m:r>
                      <m:rPr>
                        <m:sty m:val="p"/>
                      </m:rPr>
                      <w:rPr>
                        <w:rFonts w:ascii="Cambria Math" w:hAnsi="Cambria Math"/>
                        <w:lang w:val="en-US"/>
                      </w:rPr>
                      <m:t>cos</m:t>
                    </m:r>
                  </m:fName>
                  <m:e>
                    <m:d>
                      <m:dPr>
                        <m:ctrlPr>
                          <w:rPr>
                            <w:rFonts w:ascii="Cambria Math" w:hAnsi="Cambria Math"/>
                            <w:i/>
                            <w:lang w:val="en-US"/>
                          </w:rPr>
                        </m:ctrlPr>
                      </m:dPr>
                      <m:e>
                        <m:r>
                          <w:rPr>
                            <w:rFonts w:ascii="Cambria Math" w:hAnsi="Cambria Math"/>
                            <w:lang w:val="en-US"/>
                          </w:rPr>
                          <m:t>q</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0</m:t>
                            </m:r>
                          </m:sub>
                        </m:sSub>
                      </m:e>
                    </m:d>
                  </m:e>
                </m:func>
              </m:e>
            </m:d>
          </m:num>
          <m:den>
            <m:sSup>
              <m:sSupPr>
                <m:ctrlPr>
                  <w:rPr>
                    <w:rFonts w:ascii="Cambria Math" w:hAnsi="Cambria Math"/>
                    <w:i/>
                    <w:lang w:val="en-US"/>
                  </w:rPr>
                </m:ctrlPr>
              </m:sSupPr>
              <m:e>
                <m:d>
                  <m:dPr>
                    <m:begChr m:val="["/>
                    <m:endChr m:val="]"/>
                    <m:ctrlPr>
                      <w:rPr>
                        <w:rFonts w:ascii="Cambria Math" w:hAnsi="Cambria Math"/>
                        <w:i/>
                        <w:lang w:val="en-US"/>
                      </w:rPr>
                    </m:ctrlPr>
                  </m:dPr>
                  <m:e>
                    <m:r>
                      <w:rPr>
                        <w:rFonts w:ascii="Cambria Math" w:hAnsi="Cambria Math"/>
                        <w:lang w:val="en-US"/>
                      </w:rPr>
                      <m:t>1+</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qξ</m:t>
                                </m:r>
                              </m:e>
                            </m:d>
                          </m:e>
                          <m:sup>
                            <m:r>
                              <w:rPr>
                                <w:rFonts w:ascii="Cambria Math" w:hAnsi="Cambria Math"/>
                                <w:lang w:val="en-US"/>
                              </w:rPr>
                              <m:t>2</m:t>
                            </m:r>
                          </m:sup>
                        </m:sSup>
                      </m:den>
                    </m:f>
                  </m:e>
                </m:d>
              </m:e>
              <m:sup>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f</m:t>
                        </m:r>
                      </m:sub>
                    </m:sSub>
                    <m:r>
                      <w:rPr>
                        <w:rFonts w:ascii="Cambria Math" w:hAnsi="Cambria Math"/>
                        <w:lang w:val="en-US"/>
                      </w:rPr>
                      <m:t>-1</m:t>
                    </m:r>
                  </m:num>
                  <m:den>
                    <m:r>
                      <w:rPr>
                        <w:rFonts w:ascii="Cambria Math" w:hAnsi="Cambria Math"/>
                        <w:lang w:val="en-US"/>
                      </w:rPr>
                      <m:t>2</m:t>
                    </m:r>
                  </m:den>
                </m:f>
              </m:sup>
            </m:sSup>
          </m:den>
        </m:f>
      </m:oMath>
      <w:r>
        <w:rPr>
          <w:lang w:val="en-US"/>
        </w:rPr>
        <w:t xml:space="preserve">                                                                                           (6)</w:t>
      </w:r>
    </w:p>
    <w:p w14:paraId="43EFA0E0" w14:textId="77777777" w:rsidR="000D3657" w:rsidRDefault="000D3657" w:rsidP="000D3657">
      <w:pPr>
        <w:spacing w:line="480" w:lineRule="auto"/>
        <w:jc w:val="both"/>
        <w:rPr>
          <w:lang w:val="en-US"/>
        </w:rPr>
      </w:pPr>
      <w:r>
        <w:rPr>
          <w:bCs/>
          <w:i/>
          <w:iCs/>
          <w:lang w:val="en-US"/>
        </w:rPr>
        <w:t>Confocal laser scanning microscopy (CLSM).</w:t>
      </w:r>
      <w:r>
        <w:rPr>
          <w:lang w:val="en-US"/>
        </w:rPr>
        <w:t xml:space="preserve"> For the architectural characterization of the fibrin networks, Alexa Fluor 488-conjugated fibrinogen was mixed with </w:t>
      </w:r>
      <w:proofErr w:type="spellStart"/>
      <w:r>
        <w:rPr>
          <w:lang w:val="en-US"/>
        </w:rPr>
        <w:t>unlabelled</w:t>
      </w:r>
      <w:proofErr w:type="spellEnd"/>
      <w:r>
        <w:rPr>
          <w:lang w:val="en-US"/>
        </w:rPr>
        <w:t xml:space="preserve"> purified fibrinogen with a volume dilution ratio of 1:100 (equivalent final concentration of 0.015 mg mL</w:t>
      </w:r>
      <w:r>
        <w:rPr>
          <w:vertAlign w:val="superscript"/>
          <w:lang w:val="en-US"/>
        </w:rPr>
        <w:t>-1</w:t>
      </w:r>
      <w:r>
        <w:rPr>
          <w:lang w:val="en-US"/>
        </w:rPr>
        <w:t>). 2 h after fibrin network formation, 3D images were obtained using an inverted Confocal Laser Scanning Microscope (TCS SP8 WLL, Leica Microsystems) equipped with a 40</w:t>
      </w:r>
      <w:r>
        <w:rPr>
          <w:rFonts w:ascii="Symbol" w:hAnsi="Symbol"/>
          <w:lang w:val="en-US"/>
        </w:rPr>
        <w:t>´</w:t>
      </w:r>
      <w:r>
        <w:rPr>
          <w:lang w:val="en-US"/>
        </w:rPr>
        <w:t xml:space="preserve"> (HC </w:t>
      </w:r>
      <w:r>
        <w:rPr>
          <w:lang w:val="en-US"/>
        </w:rPr>
        <w:lastRenderedPageBreak/>
        <w:t>PL IRAPO 40</w:t>
      </w:r>
      <w:r>
        <w:rPr>
          <w:rFonts w:ascii="Symbol" w:hAnsi="Symbol"/>
          <w:lang w:val="en-US"/>
        </w:rPr>
        <w:t>´</w:t>
      </w:r>
      <w:r>
        <w:rPr>
          <w:lang w:val="en-US"/>
        </w:rPr>
        <w:t xml:space="preserve">/1.10 W CORR) water immersion objective. For each image, a 290 µm </w:t>
      </w:r>
      <w:r>
        <w:rPr>
          <w:rFonts w:ascii="Symbol" w:hAnsi="Symbol"/>
          <w:lang w:val="en-US"/>
        </w:rPr>
        <w:t>´</w:t>
      </w:r>
      <w:r>
        <w:rPr>
          <w:lang w:val="en-US"/>
        </w:rPr>
        <w:t xml:space="preserve"> 290 µm </w:t>
      </w:r>
      <w:r>
        <w:rPr>
          <w:rFonts w:ascii="Symbol" w:hAnsi="Symbol"/>
          <w:lang w:val="en-US"/>
        </w:rPr>
        <w:t>´</w:t>
      </w:r>
      <w:r>
        <w:rPr>
          <w:lang w:val="en-US"/>
        </w:rPr>
        <w:t xml:space="preserve"> 40 µm (x, y, z) area (1 µm/frame) was imaged, starting at a 20 µm distance from the coverslip surface. For the imaging of immunofluorescent staining, a 290 µm </w:t>
      </w:r>
      <w:r>
        <w:rPr>
          <w:rFonts w:ascii="Symbol" w:hAnsi="Symbol"/>
          <w:lang w:val="en-US"/>
        </w:rPr>
        <w:t>´</w:t>
      </w:r>
      <w:r>
        <w:rPr>
          <w:lang w:val="en-US"/>
        </w:rPr>
        <w:t xml:space="preserve"> 290 µm </w:t>
      </w:r>
      <w:r>
        <w:rPr>
          <w:rFonts w:ascii="Symbol" w:hAnsi="Symbol"/>
          <w:lang w:val="en-US"/>
        </w:rPr>
        <w:t>´</w:t>
      </w:r>
      <w:r>
        <w:rPr>
          <w:lang w:val="en-US"/>
        </w:rPr>
        <w:t xml:space="preserve"> 100 µm area (2 µm/frame) was imaged within 6 hours after the completion of immunostaining. Each sample had at least 3 images that were chosen randomly in different areas of the same sample. For the cell images, the fibrin networks were visualized using the reflectance mode (Excitation: 576 nm). For the imaging of the fibroblasts on the 2D plate, a 290 µm </w:t>
      </w:r>
      <w:r>
        <w:rPr>
          <w:rFonts w:ascii="Symbol" w:hAnsi="Symbol"/>
          <w:lang w:val="en-US"/>
        </w:rPr>
        <w:t>´</w:t>
      </w:r>
      <w:r>
        <w:rPr>
          <w:lang w:val="en-US"/>
        </w:rPr>
        <w:t xml:space="preserve"> 290 µm </w:t>
      </w:r>
      <w:r>
        <w:rPr>
          <w:rFonts w:ascii="Symbol" w:hAnsi="Symbol"/>
          <w:lang w:val="en-US"/>
        </w:rPr>
        <w:t>´</w:t>
      </w:r>
      <w:r>
        <w:rPr>
          <w:lang w:val="en-US"/>
        </w:rPr>
        <w:t xml:space="preserve"> 20 µm area (0.5 µm/frame) was imaged starting from the bottom of the plate. For the Live/Dead cell viability imaging, either </w:t>
      </w:r>
      <w:r>
        <w:rPr>
          <w:iCs/>
          <w:lang w:val="en-US"/>
        </w:rPr>
        <w:t xml:space="preserve">380 </w:t>
      </w:r>
      <w:r>
        <w:rPr>
          <w:lang w:val="en-US"/>
        </w:rPr>
        <w:t xml:space="preserve">µm </w:t>
      </w:r>
      <w:r>
        <w:rPr>
          <w:rFonts w:ascii="Symbol" w:hAnsi="Symbol"/>
          <w:lang w:val="en-US"/>
        </w:rPr>
        <w:t>´</w:t>
      </w:r>
      <w:r>
        <w:rPr>
          <w:lang w:val="en-US"/>
        </w:rPr>
        <w:t xml:space="preserve"> </w:t>
      </w:r>
      <w:r>
        <w:rPr>
          <w:iCs/>
          <w:lang w:val="en-US"/>
        </w:rPr>
        <w:t xml:space="preserve">380 </w:t>
      </w:r>
      <w:r>
        <w:rPr>
          <w:lang w:val="en-US"/>
        </w:rPr>
        <w:t xml:space="preserve">µm </w:t>
      </w:r>
      <w:r>
        <w:rPr>
          <w:rFonts w:ascii="Symbol" w:hAnsi="Symbol"/>
          <w:lang w:val="en-US"/>
        </w:rPr>
        <w:t>´</w:t>
      </w:r>
      <w:r>
        <w:rPr>
          <w:lang w:val="en-US"/>
        </w:rPr>
        <w:t xml:space="preserve"> 100 µm (2 µm/frame), </w:t>
      </w:r>
      <w:r>
        <w:rPr>
          <w:iCs/>
          <w:lang w:val="en-US"/>
        </w:rPr>
        <w:t>or</w:t>
      </w:r>
      <w:r>
        <w:rPr>
          <w:lang w:val="en-US"/>
        </w:rPr>
        <w:t xml:space="preserve"> 775 µm </w:t>
      </w:r>
      <w:r>
        <w:rPr>
          <w:rFonts w:ascii="Symbol" w:hAnsi="Symbol"/>
          <w:lang w:val="en-US"/>
        </w:rPr>
        <w:t>´</w:t>
      </w:r>
      <w:r>
        <w:rPr>
          <w:lang w:val="en-US"/>
        </w:rPr>
        <w:t xml:space="preserve"> 775 µm </w:t>
      </w:r>
      <w:r>
        <w:rPr>
          <w:rFonts w:ascii="Symbol" w:hAnsi="Symbol"/>
          <w:lang w:val="en-US"/>
        </w:rPr>
        <w:t>´</w:t>
      </w:r>
      <w:r>
        <w:rPr>
          <w:lang w:val="en-US"/>
        </w:rPr>
        <w:t xml:space="preserve"> 200 µm (2 µm/frame) areas were imaged with a 40</w:t>
      </w:r>
      <w:r>
        <w:rPr>
          <w:rFonts w:ascii="Symbol" w:hAnsi="Symbol"/>
          <w:lang w:val="en-US"/>
        </w:rPr>
        <w:t>´</w:t>
      </w:r>
      <w:r>
        <w:rPr>
          <w:lang w:val="en-US"/>
        </w:rPr>
        <w:t xml:space="preserve"> water immersion or 20</w:t>
      </w:r>
      <w:r>
        <w:rPr>
          <w:rFonts w:ascii="Symbol" w:hAnsi="Symbol"/>
          <w:lang w:val="en-US"/>
        </w:rPr>
        <w:t>´</w:t>
      </w:r>
      <w:r>
        <w:rPr>
          <w:lang w:val="en-US"/>
        </w:rPr>
        <w:t xml:space="preserve"> (HC PL FLUOTAR L 20</w:t>
      </w:r>
      <w:r>
        <w:rPr>
          <w:rFonts w:ascii="Symbol" w:hAnsi="Symbol"/>
          <w:lang w:val="en-US"/>
        </w:rPr>
        <w:t>´</w:t>
      </w:r>
      <w:r>
        <w:rPr>
          <w:lang w:val="en-US"/>
        </w:rPr>
        <w:t xml:space="preserve">/0.40 DRY) air objective. For the quantitative analysis of pore size of the fibrin networks, pore and fiber diameter were measured manually on the Leica platform LAS X. At least 40 pores and 20 fibers in different regions were measured to determine the average </w:t>
      </w:r>
      <w:bookmarkStart w:id="2" w:name="OLE_LINK2"/>
      <w:r>
        <w:rPr>
          <w:lang w:val="en-US"/>
        </w:rPr>
        <w:t xml:space="preserve">pore size and radius </w:t>
      </w:r>
      <w:bookmarkEnd w:id="2"/>
      <w:r>
        <w:rPr>
          <w:lang w:val="en-US"/>
        </w:rPr>
        <w:t xml:space="preserve">and associated standard deviations.  </w:t>
      </w:r>
    </w:p>
    <w:p w14:paraId="5AFB9627" w14:textId="77777777" w:rsidR="000D3657" w:rsidRDefault="000D3657" w:rsidP="000D3657">
      <w:pPr>
        <w:spacing w:line="480" w:lineRule="auto"/>
        <w:jc w:val="both"/>
        <w:rPr>
          <w:lang w:val="en-US"/>
        </w:rPr>
      </w:pPr>
      <w:r>
        <w:rPr>
          <w:bCs/>
          <w:i/>
          <w:iCs/>
          <w:lang w:val="en-US"/>
        </w:rPr>
        <w:t>Cell growth and encapsulation.</w:t>
      </w:r>
      <w:r>
        <w:rPr>
          <w:lang w:val="en-US"/>
        </w:rPr>
        <w:t xml:space="preserve"> Human fibroblasts (#PCS-201-012, ATCC) were cultured in Dulbecco's Modified Eagle Medium containing 10% fetal bovine serum (FBS) and 1% (v/v) penicillin-streptomycin on the polystyrene flasks.</w:t>
      </w:r>
    </w:p>
    <w:p w14:paraId="00BC3BC6" w14:textId="77777777" w:rsidR="000D3657" w:rsidRDefault="000D3657" w:rsidP="000D3657">
      <w:pPr>
        <w:spacing w:line="480" w:lineRule="auto"/>
        <w:jc w:val="both"/>
        <w:rPr>
          <w:lang w:val="en-US"/>
        </w:rPr>
      </w:pPr>
      <w:r>
        <w:rPr>
          <w:lang w:val="en-US"/>
        </w:rPr>
        <w:t>For cell encapsulation, 5</w:t>
      </w:r>
      <w:r>
        <w:rPr>
          <w:rFonts w:ascii="Symbol" w:hAnsi="Symbol"/>
          <w:lang w:val="en-US"/>
        </w:rPr>
        <w:t>´</w:t>
      </w:r>
      <w:r>
        <w:rPr>
          <w:lang w:val="en-US"/>
        </w:rPr>
        <w:t>10</w:t>
      </w:r>
      <w:r>
        <w:rPr>
          <w:vertAlign w:val="superscript"/>
          <w:lang w:val="en-US"/>
        </w:rPr>
        <w:t>5</w:t>
      </w:r>
      <w:r>
        <w:rPr>
          <w:lang w:val="en-US"/>
        </w:rPr>
        <w:t xml:space="preserve"> mL</w:t>
      </w:r>
      <w:r>
        <w:rPr>
          <w:bCs/>
          <w:vertAlign w:val="superscript"/>
          <w:lang w:val="en-US"/>
        </w:rPr>
        <w:t>-1</w:t>
      </w:r>
      <w:r>
        <w:rPr>
          <w:lang w:val="en-US"/>
        </w:rPr>
        <w:t xml:space="preserve"> (for cell viability detection) or 10</w:t>
      </w:r>
      <w:r>
        <w:rPr>
          <w:vertAlign w:val="superscript"/>
          <w:lang w:val="en-US"/>
        </w:rPr>
        <w:t>6</w:t>
      </w:r>
      <w:r>
        <w:rPr>
          <w:lang w:val="en-US"/>
        </w:rPr>
        <w:t xml:space="preserve"> mL</w:t>
      </w:r>
      <w:r>
        <w:rPr>
          <w:bCs/>
          <w:vertAlign w:val="superscript"/>
          <w:lang w:val="en-US"/>
        </w:rPr>
        <w:t>-1</w:t>
      </w:r>
      <w:r>
        <w:rPr>
          <w:lang w:val="en-US"/>
        </w:rPr>
        <w:t xml:space="preserve"> (for cell differentiation experiments) fibroblasts dissolved in PBS were added to the initiated fibrin mixture 1–5 min before the gelation of the respective network according to the gelation lag time. The mixture was then loaded to pre-warmed 15-well chamber slides (15 µL/well) and quickly transferred to a 37 °C incubator, flipping the chamber slides gently every 30 s until network formation was observed to avoid cell sinkage. The same number of cells were encapsulated in different wells. Thirty minutes after the network was formed, complete media (containing 10 µ</w:t>
      </w:r>
      <w:r>
        <w:rPr>
          <w:vertAlign w:val="subscript"/>
          <w:lang w:val="en-US"/>
        </w:rPr>
        <w:t>M</w:t>
      </w:r>
      <w:r>
        <w:rPr>
          <w:lang w:val="en-US"/>
        </w:rPr>
        <w:t xml:space="preserve"> textilinin) was added to each well. The media was changed after 4 h of </w:t>
      </w:r>
      <w:r>
        <w:rPr>
          <w:lang w:val="en-US"/>
        </w:rPr>
        <w:lastRenderedPageBreak/>
        <w:t>incubation and subsequently every 2 days. For the induction of fibroblast differentiation, 5–10 ng mL</w:t>
      </w:r>
      <w:r>
        <w:rPr>
          <w:bCs/>
          <w:vertAlign w:val="superscript"/>
          <w:lang w:val="en-US"/>
        </w:rPr>
        <w:t>-1</w:t>
      </w:r>
      <w:r>
        <w:rPr>
          <w:lang w:val="en-US"/>
        </w:rPr>
        <w:t xml:space="preserve"> recombinant human TGF-β1 was added to the media for up to 7 days. For the RNA extraction experiments, cells were cultured in 96-well plates (100 µL/well) for 5 wells per condition and maintained as described above. For the treatment of </w:t>
      </w:r>
      <w:proofErr w:type="spellStart"/>
      <w:r>
        <w:rPr>
          <w:lang w:val="en-US"/>
        </w:rPr>
        <w:t>Blebbistatin</w:t>
      </w:r>
      <w:proofErr w:type="spellEnd"/>
      <w:r>
        <w:rPr>
          <w:lang w:val="en-US"/>
        </w:rPr>
        <w:t>, 2 µ</w:t>
      </w:r>
      <w:r>
        <w:rPr>
          <w:vertAlign w:val="subscript"/>
          <w:lang w:val="en-US"/>
        </w:rPr>
        <w:t>M</w:t>
      </w:r>
      <w:r>
        <w:rPr>
          <w:lang w:val="en-US"/>
        </w:rPr>
        <w:t xml:space="preserve"> was added to the medium during the 7 days culture. For the addition of </w:t>
      </w:r>
      <w:proofErr w:type="spellStart"/>
      <w:r>
        <w:rPr>
          <w:lang w:val="en-US"/>
        </w:rPr>
        <w:t>pFXIII</w:t>
      </w:r>
      <w:proofErr w:type="spellEnd"/>
      <w:r>
        <w:rPr>
          <w:lang w:val="en-US"/>
        </w:rPr>
        <w:t xml:space="preserve"> or D004, 0–60 µg mL</w:t>
      </w:r>
      <w:r>
        <w:rPr>
          <w:bCs/>
          <w:vertAlign w:val="superscript"/>
          <w:lang w:val="en-US"/>
        </w:rPr>
        <w:t>-1</w:t>
      </w:r>
      <w:r>
        <w:rPr>
          <w:lang w:val="en-US"/>
        </w:rPr>
        <w:t xml:space="preserve"> purified FXIII or 0–40 µ</w:t>
      </w:r>
      <w:r>
        <w:rPr>
          <w:vertAlign w:val="subscript"/>
          <w:lang w:val="en-US"/>
        </w:rPr>
        <w:t>M</w:t>
      </w:r>
      <w:r>
        <w:rPr>
          <w:lang w:val="en-US"/>
        </w:rPr>
        <w:t xml:space="preserve"> D004 were added to the fibrin mixture only before initiation. </w:t>
      </w:r>
    </w:p>
    <w:p w14:paraId="504DDA18" w14:textId="77777777" w:rsidR="000D3657" w:rsidRDefault="000D3657" w:rsidP="000D3657">
      <w:pPr>
        <w:spacing w:line="480" w:lineRule="auto"/>
        <w:jc w:val="both"/>
        <w:rPr>
          <w:lang w:val="en-US"/>
        </w:rPr>
      </w:pPr>
      <w:r>
        <w:rPr>
          <w:bCs/>
          <w:i/>
          <w:iCs/>
          <w:lang w:val="en-US"/>
        </w:rPr>
        <w:t>Immunofluorescence staining.</w:t>
      </w:r>
      <w:r>
        <w:rPr>
          <w:lang w:val="en-US"/>
        </w:rPr>
        <w:t xml:space="preserve"> Cells were fixed in 4% paraformaldehyde (PFA) for 1 h and permeabilized using 0.1% Triton X-100 for 45 min. For α-SMA and YAP staining, cells were blocked with 1% BSA in PBST buffer for 2 h, before they were incubated with anti-α-SMA primary antibody (1:200) or anti-YAP primary antibody (1:200) overnight. Cells were then incubated with Alexa Fluor Plus 594 secondary </w:t>
      </w:r>
      <w:proofErr w:type="gramStart"/>
      <w:r>
        <w:rPr>
          <w:lang w:val="en-US"/>
        </w:rPr>
        <w:t>antibody</w:t>
      </w:r>
      <w:proofErr w:type="gramEnd"/>
      <w:r>
        <w:rPr>
          <w:lang w:val="en-US"/>
        </w:rPr>
        <w:t xml:space="preserve"> (1:1000) for 4 h. Cells were also incubated with Alexa Fluor Plus 647 Phalloidin (1:1000) and Hoechst 33342 (1:1000) for 2 h before confocal microscopy imaging. For cell membrane staining, samples were treated with </w:t>
      </w:r>
      <w:proofErr w:type="spellStart"/>
      <w:r>
        <w:rPr>
          <w:lang w:val="en-US"/>
        </w:rPr>
        <w:t>CellMask</w:t>
      </w:r>
      <w:proofErr w:type="spellEnd"/>
      <w:r>
        <w:rPr>
          <w:lang w:val="en-US"/>
        </w:rPr>
        <w:t xml:space="preserve"> Green Plasma Membrane Stain (1:1000) for 30 min. The quantification of the immunostaining was performed on the </w:t>
      </w:r>
      <w:proofErr w:type="spellStart"/>
      <w:r>
        <w:rPr>
          <w:lang w:val="en-US"/>
        </w:rPr>
        <w:t>BioImageXD</w:t>
      </w:r>
      <w:proofErr w:type="spellEnd"/>
      <w:r>
        <w:rPr>
          <w:lang w:val="en-US"/>
        </w:rPr>
        <w:t xml:space="preserve"> 1.0 platform. For α-SMA expression, only the α-SMA intensity co-localized with F-actin was analyzed to specifically quantify the α-SMA stress fibers. For the YAP quantification, both the nuclear localization rate and nuclear intensity were analyzed. The results were presented as total co-localized α-SMA or nuclear YAP intensity per cell.</w:t>
      </w:r>
    </w:p>
    <w:p w14:paraId="55B4A947" w14:textId="77777777" w:rsidR="000D3657" w:rsidRDefault="000D3657" w:rsidP="000D3657">
      <w:pPr>
        <w:spacing w:line="480" w:lineRule="auto"/>
        <w:jc w:val="both"/>
        <w:rPr>
          <w:lang w:val="en-US"/>
        </w:rPr>
      </w:pPr>
      <w:r>
        <w:rPr>
          <w:bCs/>
          <w:i/>
          <w:iCs/>
          <w:lang w:val="en-US"/>
        </w:rPr>
        <w:t>RNA extraction and qPCR.</w:t>
      </w:r>
      <w:r>
        <w:rPr>
          <w:lang w:val="en-US"/>
        </w:rPr>
        <w:t xml:space="preserve"> Fibrin pellets along with encapsulated cells were collected in 1.5 mL Eppendorf tubes for RNA extraction, after which the pellets were homogenized using pellet pestles. Total RNA was extracted and purified by </w:t>
      </w:r>
      <w:proofErr w:type="spellStart"/>
      <w:r>
        <w:rPr>
          <w:lang w:val="en-US"/>
        </w:rPr>
        <w:t>TRIzol</w:t>
      </w:r>
      <w:proofErr w:type="spellEnd"/>
      <w:r>
        <w:rPr>
          <w:lang w:val="en-US"/>
        </w:rPr>
        <w:t xml:space="preserve"> reagent and RNeasy kit according to the manufacturer’s protocol. The extracted RNA was then quantified by a </w:t>
      </w:r>
      <w:proofErr w:type="spellStart"/>
      <w:r>
        <w:rPr>
          <w:lang w:val="en-US"/>
        </w:rPr>
        <w:t>NanoDrop</w:t>
      </w:r>
      <w:proofErr w:type="spellEnd"/>
      <w:r>
        <w:rPr>
          <w:lang w:val="en-US"/>
        </w:rPr>
        <w:t xml:space="preserve"> spectrophotometer (</w:t>
      </w:r>
      <w:proofErr w:type="spellStart"/>
      <w:r>
        <w:rPr>
          <w:lang w:val="en-US"/>
        </w:rPr>
        <w:t>NanoDrop</w:t>
      </w:r>
      <w:proofErr w:type="spellEnd"/>
      <w:r>
        <w:rPr>
          <w:lang w:val="en-US"/>
        </w:rPr>
        <w:t xml:space="preserve"> 2000, </w:t>
      </w:r>
      <w:proofErr w:type="spellStart"/>
      <w:r>
        <w:rPr>
          <w:lang w:val="en-US"/>
        </w:rPr>
        <w:t>ThermoFisher</w:t>
      </w:r>
      <w:proofErr w:type="spellEnd"/>
      <w:r>
        <w:rPr>
          <w:lang w:val="en-US"/>
        </w:rPr>
        <w:t xml:space="preserve"> Scientific) and reverse </w:t>
      </w:r>
      <w:proofErr w:type="spellStart"/>
      <w:r>
        <w:rPr>
          <w:lang w:val="en-US"/>
        </w:rPr>
        <w:t>transcripted</w:t>
      </w:r>
      <w:proofErr w:type="spellEnd"/>
      <w:r>
        <w:rPr>
          <w:lang w:val="en-US"/>
        </w:rPr>
        <w:t xml:space="preserve"> to cDNA using the Reverse Transcriptase kit. For real-time qPCR, TaqMan Universal PCR </w:t>
      </w:r>
      <w:r>
        <w:rPr>
          <w:lang w:val="en-US"/>
        </w:rPr>
        <w:lastRenderedPageBreak/>
        <w:t xml:space="preserve">Master Mix predesigned TaqMan gene expression assays were used to detect TAGLN and LRRC17. GAPDH or 18S rRNA was used as an endogenous control. </w:t>
      </w:r>
      <w:proofErr w:type="spellStart"/>
      <w:r>
        <w:rPr>
          <w:lang w:val="en-US"/>
        </w:rPr>
        <w:t>qRCR</w:t>
      </w:r>
      <w:proofErr w:type="spellEnd"/>
      <w:r>
        <w:rPr>
          <w:lang w:val="en-US"/>
        </w:rPr>
        <w:t xml:space="preserve"> was performed in the CFX Real-Time PCR Detection System (BIO-RAD). Relative gene expression levels were analyzed by the 2</w:t>
      </w:r>
      <w:r>
        <w:rPr>
          <w:vertAlign w:val="superscript"/>
          <w:lang w:val="en-US"/>
        </w:rPr>
        <w:t>(-</w:t>
      </w:r>
      <w:proofErr w:type="spellStart"/>
      <w:r>
        <w:rPr>
          <w:vertAlign w:val="superscript"/>
          <w:lang w:val="en-US"/>
        </w:rPr>
        <w:t>ΔΔCt</w:t>
      </w:r>
      <w:proofErr w:type="spellEnd"/>
      <w:r>
        <w:rPr>
          <w:vertAlign w:val="superscript"/>
          <w:lang w:val="en-US"/>
        </w:rPr>
        <w:t>)</w:t>
      </w:r>
      <w:r>
        <w:rPr>
          <w:lang w:val="en-US"/>
        </w:rPr>
        <w:t xml:space="preserve"> method. Results from the 2D cell pellet before encapsulation served as the control for other samples.</w:t>
      </w:r>
    </w:p>
    <w:p w14:paraId="0ECEF6F1" w14:textId="77777777" w:rsidR="000D3657" w:rsidRDefault="000D3657" w:rsidP="000D3657">
      <w:pPr>
        <w:spacing w:line="480" w:lineRule="auto"/>
        <w:jc w:val="both"/>
        <w:rPr>
          <w:lang w:val="en-US"/>
        </w:rPr>
      </w:pPr>
      <w:r>
        <w:rPr>
          <w:bCs/>
          <w:i/>
          <w:iCs/>
          <w:lang w:val="en-US"/>
        </w:rPr>
        <w:t>Spectrophotometry.</w:t>
      </w:r>
      <w:r>
        <w:rPr>
          <w:lang w:val="en-US"/>
        </w:rPr>
        <w:t xml:space="preserve"> To gain information about the kinetics of the fibrin network formation, fibrin networks were initiated in 96-well plates with (100 µL/well), and the absorbance at 582 nm was continuously monitored for 1h at 37 °C in a microplate reader (Tecan M200 Pro Infinite). To monitor the long-term stability of the fibrin networks, the samples were covered with silicon oil to avoid evaporation and incubated at 37 °C. The absorbance values of the fibrin samples were then recorded every 24 hours. Multiple regions were recorded for each well and the mean values were determined as the final absorbance readings.</w:t>
      </w:r>
    </w:p>
    <w:p w14:paraId="34E42F7A" w14:textId="77777777" w:rsidR="000D3657" w:rsidRDefault="000D3657" w:rsidP="000D3657">
      <w:pPr>
        <w:spacing w:line="480" w:lineRule="auto"/>
        <w:jc w:val="both"/>
        <w:rPr>
          <w:bCs/>
          <w:lang w:val="en-US"/>
        </w:rPr>
      </w:pPr>
      <w:r>
        <w:rPr>
          <w:i/>
          <w:iCs/>
          <w:lang w:val="en-US"/>
        </w:rPr>
        <w:t>Chromogenic Activity Assay.</w:t>
      </w:r>
      <w:r>
        <w:rPr>
          <w:lang w:val="en-US"/>
        </w:rPr>
        <w:t xml:space="preserve"> A chromogenic substrate assay was used to monitor the fibrinogen cleavage activity by thrombin or prothrombin/ecarin. The substrate was mixed with the clotting buffer with a final concentration of 1.6 </w:t>
      </w:r>
      <w:proofErr w:type="spellStart"/>
      <w:r>
        <w:rPr>
          <w:lang w:val="en-US"/>
        </w:rPr>
        <w:t>m</w:t>
      </w:r>
      <w:r>
        <w:rPr>
          <w:vertAlign w:val="subscript"/>
          <w:lang w:val="en-US"/>
        </w:rPr>
        <w:t>M</w:t>
      </w:r>
      <w:r>
        <w:rPr>
          <w:lang w:val="en-US"/>
        </w:rPr>
        <w:t>.</w:t>
      </w:r>
      <w:proofErr w:type="spellEnd"/>
      <w:r>
        <w:rPr>
          <w:lang w:val="en-US"/>
        </w:rPr>
        <w:t xml:space="preserve"> Thrombin or prothrombin/ecarin were pre-heated at 37 °C for 5 min or 10 min before initiation. After the substrate was initiated in the 96-well plates with a volume of 100 µL/well, the cleavage activity was monitored for 3 h at 37 °C by detecting the absorbance reading at 405 nm subtracted by reference reading at 490 nm (</w:t>
      </w:r>
      <w:r>
        <w:rPr>
          <w:bCs/>
          <w:lang w:val="en-US"/>
        </w:rPr>
        <w:t>A</w:t>
      </w:r>
      <w:r>
        <w:rPr>
          <w:bCs/>
          <w:vertAlign w:val="subscript"/>
          <w:lang w:val="en-US"/>
        </w:rPr>
        <w:t>405-490nm</w:t>
      </w:r>
      <w:r>
        <w:rPr>
          <w:lang w:val="en-US"/>
        </w:rPr>
        <w:t>) on a microplate reader (Tecan M200 Pro Infinite). The cleavage quantity of the enzymes was determined by the absorbance reading</w:t>
      </w:r>
      <w:r>
        <w:rPr>
          <w:bCs/>
          <w:lang w:val="en-US"/>
        </w:rPr>
        <w:t xml:space="preserve"> A</w:t>
      </w:r>
      <w:r>
        <w:rPr>
          <w:bCs/>
          <w:vertAlign w:val="subscript"/>
          <w:lang w:val="en-US"/>
        </w:rPr>
        <w:t>405-490nm</w:t>
      </w:r>
      <w:r>
        <w:rPr>
          <w:lang w:val="en-US"/>
        </w:rPr>
        <w:t>. The cleavage rate of the enzymes was analyzed by the Δ A</w:t>
      </w:r>
      <w:r>
        <w:rPr>
          <w:bCs/>
          <w:vertAlign w:val="subscript"/>
          <w:lang w:val="en-US"/>
        </w:rPr>
        <w:t>405-490nm</w:t>
      </w:r>
      <w:r>
        <w:rPr>
          <w:lang w:val="en-US"/>
        </w:rPr>
        <w:t>/min. A threshold of A</w:t>
      </w:r>
      <w:r>
        <w:rPr>
          <w:bCs/>
          <w:vertAlign w:val="subscript"/>
          <w:lang w:val="en-US"/>
        </w:rPr>
        <w:t>405-490nm</w:t>
      </w:r>
      <w:r>
        <w:rPr>
          <w:bCs/>
          <w:lang w:val="en-US"/>
        </w:rPr>
        <w:t xml:space="preserve"> = 0.035 was set and the time point when absorbance A</w:t>
      </w:r>
      <w:r>
        <w:rPr>
          <w:bCs/>
          <w:vertAlign w:val="subscript"/>
          <w:lang w:val="en-US"/>
        </w:rPr>
        <w:t>405-490nm</w:t>
      </w:r>
      <w:r>
        <w:rPr>
          <w:bCs/>
          <w:lang w:val="en-US"/>
        </w:rPr>
        <w:t xml:space="preserve"> reached the threshold after initiation was detected.</w:t>
      </w:r>
    </w:p>
    <w:p w14:paraId="30FE3071" w14:textId="77777777" w:rsidR="000D3657" w:rsidRDefault="000D3657" w:rsidP="000D3657">
      <w:pPr>
        <w:spacing w:line="480" w:lineRule="auto"/>
        <w:jc w:val="both"/>
        <w:rPr>
          <w:bCs/>
          <w:i/>
          <w:iCs/>
          <w:lang w:val="en-US"/>
        </w:rPr>
      </w:pPr>
      <w:r>
        <w:rPr>
          <w:bCs/>
          <w:i/>
          <w:iCs/>
          <w:lang w:val="en-US"/>
        </w:rPr>
        <w:t xml:space="preserve">Live/Dead cell viability assay. </w:t>
      </w:r>
      <w:r>
        <w:rPr>
          <w:lang w:val="en-US"/>
        </w:rPr>
        <w:t>Cell viability was detected using the Live/Dead (</w:t>
      </w:r>
      <w:proofErr w:type="spellStart"/>
      <w:r>
        <w:rPr>
          <w:lang w:val="en-US"/>
        </w:rPr>
        <w:t>Calcein</w:t>
      </w:r>
      <w:proofErr w:type="spellEnd"/>
      <w:r>
        <w:rPr>
          <w:lang w:val="en-US"/>
        </w:rPr>
        <w:t xml:space="preserve">-AM/Ethidium) staining according to the manufacturer’s instruction. Briefly, cells along with the fibrin networks in the 15-well chamber slides were washed with PBS at 37 °C for 15 min. </w:t>
      </w:r>
      <w:r>
        <w:rPr>
          <w:lang w:val="en-US"/>
        </w:rPr>
        <w:lastRenderedPageBreak/>
        <w:t xml:space="preserve">They were then incubated with 2 </w:t>
      </w:r>
      <w:r>
        <w:rPr>
          <w:lang w:val="en-US"/>
        </w:rPr>
        <w:sym w:font="Symbol" w:char="F06D"/>
      </w:r>
      <w:r>
        <w:rPr>
          <w:vertAlign w:val="subscript"/>
          <w:lang w:val="en-US"/>
        </w:rPr>
        <w:t>M</w:t>
      </w:r>
      <w:r>
        <w:rPr>
          <w:lang w:val="en-US"/>
        </w:rPr>
        <w:t xml:space="preserve"> </w:t>
      </w:r>
      <w:proofErr w:type="spellStart"/>
      <w:r>
        <w:rPr>
          <w:lang w:val="en-US"/>
        </w:rPr>
        <w:t>Calcein</w:t>
      </w:r>
      <w:proofErr w:type="spellEnd"/>
      <w:r>
        <w:rPr>
          <w:lang w:val="en-US"/>
        </w:rPr>
        <w:t xml:space="preserve">-AM and 5 </w:t>
      </w:r>
      <w:r>
        <w:rPr>
          <w:lang w:val="en-US"/>
        </w:rPr>
        <w:sym w:font="Symbol" w:char="F06D"/>
      </w:r>
      <w:r>
        <w:rPr>
          <w:lang w:val="en-US"/>
        </w:rPr>
        <w:t xml:space="preserve">M Ethidium at 37 °C for 30 min. Cells were washed and stained with Hoechst for 15 min before performing confocal microscopy imaging. Cell viability was calculated as: (number of </w:t>
      </w:r>
      <w:proofErr w:type="spellStart"/>
      <w:r>
        <w:rPr>
          <w:lang w:val="en-US"/>
        </w:rPr>
        <w:t>calcein</w:t>
      </w:r>
      <w:proofErr w:type="spellEnd"/>
      <w:r>
        <w:rPr>
          <w:lang w:val="en-US"/>
        </w:rPr>
        <w:t>-positive cells</w:t>
      </w:r>
      <m:oMath>
        <m:r>
          <w:rPr>
            <w:rFonts w:ascii="Cambria Math" w:hAnsi="Cambria Math"/>
            <w:lang w:val="en-US"/>
          </w:rPr>
          <m:t>÷</m:t>
        </m:r>
      </m:oMath>
      <w:r>
        <w:rPr>
          <w:lang w:val="en-US"/>
        </w:rPr>
        <w:t xml:space="preserve">(calcein-positive cell number + ethidium-positive cell number)) </w:t>
      </w:r>
      <w:r>
        <w:rPr>
          <w:rFonts w:ascii="Symbol" w:hAnsi="Symbol"/>
          <w:lang w:val="en-US"/>
        </w:rPr>
        <w:t xml:space="preserve">´ </w:t>
      </w:r>
      <w:r>
        <w:rPr>
          <w:lang w:val="en-US"/>
        </w:rPr>
        <w:t xml:space="preserve">100%. </w:t>
      </w:r>
    </w:p>
    <w:p w14:paraId="22951FB7" w14:textId="77777777" w:rsidR="000D3657" w:rsidRDefault="000D3657" w:rsidP="000D3657">
      <w:pPr>
        <w:spacing w:line="480" w:lineRule="auto"/>
        <w:jc w:val="both"/>
        <w:rPr>
          <w:b/>
          <w:bCs/>
          <w:lang w:val="en-US"/>
        </w:rPr>
      </w:pPr>
      <w:r>
        <w:rPr>
          <w:i/>
          <w:iCs/>
          <w:lang w:val="en-US"/>
        </w:rPr>
        <w:t>Cell morphology quantification.</w:t>
      </w:r>
      <w:r>
        <w:rPr>
          <w:b/>
          <w:bCs/>
          <w:lang w:val="en-US"/>
        </w:rPr>
        <w:t xml:space="preserve"> </w:t>
      </w:r>
      <w:r>
        <w:rPr>
          <w:lang w:val="en-US"/>
        </w:rPr>
        <w:t xml:space="preserve">Cell morphology was quantified using the confocal images obtained during live/dead cell viability detection. Both cell length and cell width were measured manually on projected images of the 3D confocal microscopy images (775 µm </w:t>
      </w:r>
      <w:r>
        <w:rPr>
          <w:rFonts w:ascii="Symbol" w:hAnsi="Symbol"/>
          <w:lang w:val="en-US"/>
        </w:rPr>
        <w:t>´</w:t>
      </w:r>
      <w:r>
        <w:rPr>
          <w:lang w:val="en-US"/>
        </w:rPr>
        <w:t xml:space="preserve"> 775 µm </w:t>
      </w:r>
      <w:r>
        <w:rPr>
          <w:rFonts w:ascii="Symbol" w:hAnsi="Symbol"/>
          <w:lang w:val="en-US"/>
        </w:rPr>
        <w:t>´</w:t>
      </w:r>
      <w:r>
        <w:rPr>
          <w:lang w:val="en-US"/>
        </w:rPr>
        <w:t xml:space="preserve"> 200 µm) on the Leica platform LAS X. Cell length (x) was defined as the linear length between the center of nuclei and the cell membrane that spread the farthest, whilst cell width (y) was defined as the shortest length between the center of nuclei and the cell membrane. The elongation ratio of each cell was calculated as the ratio of cell length to cell width (x/y). </w:t>
      </w:r>
    </w:p>
    <w:p w14:paraId="4DEE7FF4" w14:textId="77777777" w:rsidR="000D3657" w:rsidRDefault="000D3657" w:rsidP="000D3657">
      <w:pPr>
        <w:spacing w:line="480" w:lineRule="auto"/>
        <w:jc w:val="both"/>
        <w:rPr>
          <w:b/>
          <w:lang w:val="en-US"/>
        </w:rPr>
      </w:pPr>
      <w:r>
        <w:rPr>
          <w:bCs/>
          <w:i/>
          <w:iCs/>
          <w:lang w:val="en-US"/>
        </w:rPr>
        <w:t>Statistical analysis.</w:t>
      </w:r>
      <w:r>
        <w:rPr>
          <w:b/>
          <w:lang w:val="en-US"/>
        </w:rPr>
        <w:t xml:space="preserve"> </w:t>
      </w:r>
      <w:r>
        <w:rPr>
          <w:lang w:val="en-US"/>
        </w:rPr>
        <w:t xml:space="preserve">For the statistical analysis of immunostaining, the mean values relative to the same condition (soft fine network without treatment of TGF-β1) from at least three independent experiments were included and analyzed. For the analysis of gene expression, relative gene expression levels (2D cell pellet served as a control) from at least three independent experiments were included and analyzed. These data were analyzed by one-way ANOVA followed by individual comparisons using Tukey’s method by GraphPad Prism v9.0. For the quantification of the immunostaining in 2D control, an unpaired t-test was performed. For statistical analysis of the cell number, cell length, cell width, and elongation ratio between different groups, the two-tailed non-parametric Wilcoxon Signed test was performed between different groups. Data in all violin plots were shown with median values (solid lines) and quartiles (dashed lines). Other data were expressed as mean ± SD. </w:t>
      </w:r>
      <w:r>
        <w:rPr>
          <w:iCs/>
          <w:lang w:val="en-US"/>
        </w:rPr>
        <w:t>p</w:t>
      </w:r>
      <w:r>
        <w:rPr>
          <w:lang w:val="en-US"/>
        </w:rPr>
        <w:t xml:space="preserve"> &lt; 0.05 was considered statistically significant (</w:t>
      </w:r>
      <w:r>
        <w:rPr>
          <w:i/>
          <w:lang w:val="en-US"/>
        </w:rPr>
        <w:t>*</w:t>
      </w:r>
      <w:r>
        <w:rPr>
          <w:iCs/>
          <w:lang w:val="en-US"/>
        </w:rPr>
        <w:t>p</w:t>
      </w:r>
      <w:r>
        <w:rPr>
          <w:lang w:val="en-US"/>
        </w:rPr>
        <w:t xml:space="preserve"> &lt; 0.05, </w:t>
      </w:r>
      <w:r>
        <w:rPr>
          <w:i/>
          <w:lang w:val="en-US"/>
        </w:rPr>
        <w:t>**</w:t>
      </w:r>
      <w:r>
        <w:rPr>
          <w:iCs/>
          <w:lang w:val="en-US"/>
        </w:rPr>
        <w:t>p</w:t>
      </w:r>
      <w:r>
        <w:rPr>
          <w:i/>
          <w:lang w:val="en-US"/>
        </w:rPr>
        <w:t xml:space="preserve"> </w:t>
      </w:r>
      <w:r>
        <w:rPr>
          <w:lang w:val="en-US"/>
        </w:rPr>
        <w:t xml:space="preserve">&lt; 0.01, </w:t>
      </w:r>
      <w:r>
        <w:rPr>
          <w:i/>
          <w:lang w:val="en-US"/>
        </w:rPr>
        <w:t>***</w:t>
      </w:r>
      <w:r>
        <w:rPr>
          <w:iCs/>
          <w:lang w:val="en-US"/>
        </w:rPr>
        <w:t xml:space="preserve">p </w:t>
      </w:r>
      <w:r>
        <w:rPr>
          <w:lang w:val="en-US"/>
        </w:rPr>
        <w:t>&lt; 0.001).</w:t>
      </w:r>
      <w:r>
        <w:rPr>
          <w:iCs/>
          <w:lang w:val="en-US"/>
        </w:rPr>
        <w:t xml:space="preserve"> ns,</w:t>
      </w:r>
      <w:r>
        <w:rPr>
          <w:lang w:val="en-US"/>
        </w:rPr>
        <w:t xml:space="preserve"> not significant.</w:t>
      </w:r>
    </w:p>
    <w:p w14:paraId="41C4D37D" w14:textId="77777777" w:rsidR="00AF76C3" w:rsidRDefault="00AF76C3"/>
    <w:p w14:paraId="5D6DA38C" w14:textId="4AF70B42" w:rsidR="00041963" w:rsidRPr="00041963" w:rsidRDefault="00041963">
      <w:pPr>
        <w:rPr>
          <w:b/>
          <w:bCs/>
        </w:rPr>
      </w:pPr>
      <w:r w:rsidRPr="00041963">
        <w:rPr>
          <w:b/>
          <w:bCs/>
        </w:rPr>
        <w:t>References</w:t>
      </w:r>
    </w:p>
    <w:p w14:paraId="6D8682B8" w14:textId="2290D1E7" w:rsidR="00041963" w:rsidRDefault="00041963" w:rsidP="00041963">
      <w:pPr>
        <w:pStyle w:val="EndNoteBibliography"/>
        <w:spacing w:after="0"/>
        <w:rPr>
          <w:rFonts w:ascii="Times New Roman" w:eastAsiaTheme="minorEastAsia" w:hAnsi="Times New Roman" w:cs="Times New Roman"/>
          <w:lang w:val="en-US"/>
        </w:rPr>
      </w:pPr>
      <w:r>
        <w:rPr>
          <w:rFonts w:ascii="Times New Roman" w:hAnsi="Times New Roman" w:cs="Times New Roman"/>
          <w:lang w:val="en-US"/>
        </w:rPr>
        <w:t>[</w:t>
      </w:r>
      <w:r>
        <w:rPr>
          <w:rFonts w:ascii="Times New Roman" w:hAnsi="Times New Roman" w:cs="Times New Roman"/>
          <w:lang w:val="en-US"/>
        </w:rPr>
        <w:t>1</w:t>
      </w:r>
      <w:r>
        <w:rPr>
          <w:rFonts w:ascii="Times New Roman" w:hAnsi="Times New Roman" w:cs="Times New Roman"/>
          <w:lang w:val="en-US"/>
        </w:rPr>
        <w:t>]</w:t>
      </w:r>
      <w:r>
        <w:rPr>
          <w:rFonts w:ascii="Times New Roman" w:hAnsi="Times New Roman" w:cs="Times New Roman"/>
          <w:lang w:val="en-US"/>
        </w:rPr>
        <w:tab/>
        <w:t xml:space="preserve">A. E. A. Ismail, F. M. Fabian, O. Wang, Y. Lei, M. A. Carlson, W. H. Burgess, W. H. Velander, </w:t>
      </w:r>
      <w:r>
        <w:rPr>
          <w:rFonts w:ascii="Times New Roman" w:hAnsi="Times New Roman" w:cs="Times New Roman"/>
          <w:i/>
          <w:lang w:val="en-US"/>
        </w:rPr>
        <w:t>Process Biochemistry</w:t>
      </w:r>
      <w:r>
        <w:rPr>
          <w:rFonts w:ascii="Times New Roman" w:hAnsi="Times New Roman" w:cs="Times New Roman"/>
          <w:lang w:val="en-US"/>
        </w:rPr>
        <w:t xml:space="preserve"> </w:t>
      </w:r>
      <w:r>
        <w:rPr>
          <w:rFonts w:ascii="Times New Roman" w:hAnsi="Times New Roman" w:cs="Times New Roman"/>
          <w:b/>
          <w:lang w:val="en-US"/>
        </w:rPr>
        <w:t>2018</w:t>
      </w:r>
      <w:r>
        <w:rPr>
          <w:rFonts w:ascii="Times New Roman" w:hAnsi="Times New Roman" w:cs="Times New Roman"/>
          <w:lang w:val="en-US"/>
        </w:rPr>
        <w:t>, 75, 257.</w:t>
      </w:r>
    </w:p>
    <w:p w14:paraId="5C51B212" w14:textId="7ADBBE10" w:rsidR="00041963" w:rsidRDefault="00041963" w:rsidP="00041963">
      <w:pPr>
        <w:pStyle w:val="EndNoteBibliography"/>
        <w:spacing w:after="0"/>
        <w:rPr>
          <w:rFonts w:ascii="Times New Roman" w:hAnsi="Times New Roman" w:cs="Times New Roman"/>
          <w:lang w:val="en-US"/>
        </w:rPr>
      </w:pPr>
      <w:r>
        <w:rPr>
          <w:rFonts w:ascii="Times New Roman" w:hAnsi="Times New Roman" w:cs="Times New Roman"/>
          <w:lang w:val="en-US"/>
        </w:rPr>
        <w:lastRenderedPageBreak/>
        <w:t>[</w:t>
      </w:r>
      <w:r w:rsidR="00A975B9">
        <w:rPr>
          <w:rFonts w:ascii="Times New Roman" w:hAnsi="Times New Roman" w:cs="Times New Roman"/>
          <w:lang w:val="en-US"/>
        </w:rPr>
        <w:t>2</w:t>
      </w:r>
      <w:r>
        <w:rPr>
          <w:rFonts w:ascii="Times New Roman" w:hAnsi="Times New Roman" w:cs="Times New Roman"/>
          <w:lang w:val="en-US"/>
        </w:rPr>
        <w:t>]</w:t>
      </w:r>
      <w:r>
        <w:rPr>
          <w:rFonts w:ascii="Times New Roman" w:hAnsi="Times New Roman" w:cs="Times New Roman"/>
          <w:lang w:val="en-US"/>
        </w:rPr>
        <w:tab/>
        <w:t xml:space="preserve">V. J. Marder, N. R. Shulman, W. R. Carroll, </w:t>
      </w:r>
      <w:r>
        <w:rPr>
          <w:rFonts w:ascii="Times New Roman" w:hAnsi="Times New Roman" w:cs="Times New Roman"/>
          <w:i/>
          <w:lang w:val="en-US"/>
        </w:rPr>
        <w:t>Journal of Biological Chemistry</w:t>
      </w:r>
      <w:r>
        <w:rPr>
          <w:rFonts w:ascii="Times New Roman" w:hAnsi="Times New Roman" w:cs="Times New Roman"/>
          <w:lang w:val="en-US"/>
        </w:rPr>
        <w:t xml:space="preserve"> </w:t>
      </w:r>
      <w:r>
        <w:rPr>
          <w:rFonts w:ascii="Times New Roman" w:hAnsi="Times New Roman" w:cs="Times New Roman"/>
          <w:b/>
          <w:lang w:val="en-US"/>
        </w:rPr>
        <w:t>1969</w:t>
      </w:r>
      <w:r>
        <w:rPr>
          <w:rFonts w:ascii="Times New Roman" w:hAnsi="Times New Roman" w:cs="Times New Roman"/>
          <w:lang w:val="en-US"/>
        </w:rPr>
        <w:t>, 244, 2111.</w:t>
      </w:r>
    </w:p>
    <w:p w14:paraId="452945AA" w14:textId="02E05426" w:rsidR="00041963" w:rsidRDefault="00041963" w:rsidP="00041963">
      <w:pPr>
        <w:pStyle w:val="EndNoteBibliography"/>
        <w:spacing w:after="0"/>
        <w:rPr>
          <w:rFonts w:ascii="Times New Roman" w:hAnsi="Times New Roman" w:cs="Times New Roman"/>
          <w:lang w:val="en-US"/>
        </w:rPr>
      </w:pPr>
      <w:r>
        <w:rPr>
          <w:rFonts w:ascii="Times New Roman" w:hAnsi="Times New Roman" w:cs="Times New Roman"/>
          <w:lang w:val="en-US"/>
        </w:rPr>
        <w:t>[</w:t>
      </w:r>
      <w:r w:rsidR="00713229">
        <w:rPr>
          <w:rFonts w:ascii="Times New Roman" w:hAnsi="Times New Roman" w:cs="Times New Roman"/>
          <w:lang w:val="en-US"/>
        </w:rPr>
        <w:t>3</w:t>
      </w:r>
      <w:r>
        <w:rPr>
          <w:rFonts w:ascii="Times New Roman" w:hAnsi="Times New Roman" w:cs="Times New Roman"/>
          <w:lang w:val="en-US"/>
        </w:rPr>
        <w:t>]</w:t>
      </w:r>
      <w:r>
        <w:rPr>
          <w:rFonts w:ascii="Times New Roman" w:hAnsi="Times New Roman" w:cs="Times New Roman"/>
          <w:lang w:val="en-US"/>
        </w:rPr>
        <w:tab/>
        <w:t xml:space="preserve">E. P. Gilbert, J. C. Schulz, T. J. Noakes, </w:t>
      </w:r>
      <w:r>
        <w:rPr>
          <w:rFonts w:ascii="Times New Roman" w:hAnsi="Times New Roman" w:cs="Times New Roman"/>
          <w:i/>
          <w:lang w:val="en-US"/>
        </w:rPr>
        <w:t>Physica B: Condensed Matter</w:t>
      </w:r>
      <w:r>
        <w:rPr>
          <w:rFonts w:ascii="Times New Roman" w:hAnsi="Times New Roman" w:cs="Times New Roman"/>
          <w:lang w:val="en-US"/>
        </w:rPr>
        <w:t xml:space="preserve"> </w:t>
      </w:r>
      <w:r>
        <w:rPr>
          <w:rFonts w:ascii="Times New Roman" w:hAnsi="Times New Roman" w:cs="Times New Roman"/>
          <w:b/>
          <w:lang w:val="en-US"/>
        </w:rPr>
        <w:t>2006</w:t>
      </w:r>
      <w:r>
        <w:rPr>
          <w:rFonts w:ascii="Times New Roman" w:hAnsi="Times New Roman" w:cs="Times New Roman"/>
          <w:lang w:val="en-US"/>
        </w:rPr>
        <w:t>, 385-386, 1180.</w:t>
      </w:r>
    </w:p>
    <w:p w14:paraId="5B625E87" w14:textId="3D3B17BE" w:rsidR="00041963" w:rsidRDefault="00041963" w:rsidP="00041963">
      <w:pPr>
        <w:pStyle w:val="EndNoteBibliography"/>
        <w:spacing w:after="0"/>
        <w:rPr>
          <w:rFonts w:ascii="Times New Roman" w:hAnsi="Times New Roman" w:cs="Times New Roman"/>
          <w:lang w:val="en-US"/>
        </w:rPr>
      </w:pPr>
      <w:r>
        <w:rPr>
          <w:rFonts w:ascii="Times New Roman" w:hAnsi="Times New Roman" w:cs="Times New Roman"/>
          <w:lang w:val="en-US"/>
        </w:rPr>
        <w:t>[</w:t>
      </w:r>
      <w:r w:rsidR="00713229">
        <w:rPr>
          <w:rFonts w:ascii="Times New Roman" w:hAnsi="Times New Roman" w:cs="Times New Roman"/>
          <w:lang w:val="en-US"/>
        </w:rPr>
        <w:t>4</w:t>
      </w:r>
      <w:r>
        <w:rPr>
          <w:rFonts w:ascii="Times New Roman" w:hAnsi="Times New Roman" w:cs="Times New Roman"/>
          <w:lang w:val="en-US"/>
        </w:rPr>
        <w:t>]</w:t>
      </w:r>
      <w:r>
        <w:rPr>
          <w:rFonts w:ascii="Times New Roman" w:hAnsi="Times New Roman" w:cs="Times New Roman"/>
          <w:lang w:val="en-US"/>
        </w:rPr>
        <w:tab/>
        <w:t xml:space="preserve">C. Rehm, L. d. Campo, A. Brûlé, F. Darmann, F. Bartsch, A. Berry, </w:t>
      </w:r>
      <w:r>
        <w:rPr>
          <w:rFonts w:ascii="Times New Roman" w:hAnsi="Times New Roman" w:cs="Times New Roman"/>
          <w:i/>
          <w:lang w:val="en-US"/>
        </w:rPr>
        <w:t>Journal of Applied Crystallography</w:t>
      </w:r>
      <w:r>
        <w:rPr>
          <w:rFonts w:ascii="Times New Roman" w:hAnsi="Times New Roman" w:cs="Times New Roman"/>
          <w:lang w:val="en-US"/>
        </w:rPr>
        <w:t xml:space="preserve"> </w:t>
      </w:r>
      <w:r>
        <w:rPr>
          <w:rFonts w:ascii="Times New Roman" w:hAnsi="Times New Roman" w:cs="Times New Roman"/>
          <w:b/>
          <w:lang w:val="en-US"/>
        </w:rPr>
        <w:t>2018</w:t>
      </w:r>
      <w:r>
        <w:rPr>
          <w:rFonts w:ascii="Times New Roman" w:hAnsi="Times New Roman" w:cs="Times New Roman"/>
          <w:lang w:val="en-US"/>
        </w:rPr>
        <w:t>, 51, 1.</w:t>
      </w:r>
    </w:p>
    <w:p w14:paraId="67D13DBA" w14:textId="7649F9A3" w:rsidR="00041963" w:rsidRDefault="00041963" w:rsidP="00041963">
      <w:pPr>
        <w:pStyle w:val="EndNoteBibliography"/>
        <w:spacing w:after="0"/>
        <w:rPr>
          <w:rFonts w:ascii="Times New Roman" w:hAnsi="Times New Roman" w:cs="Times New Roman"/>
          <w:lang w:val="en-US"/>
        </w:rPr>
      </w:pPr>
      <w:r>
        <w:rPr>
          <w:rFonts w:ascii="Times New Roman" w:hAnsi="Times New Roman" w:cs="Times New Roman"/>
          <w:lang w:val="en-US"/>
        </w:rPr>
        <w:t>[</w:t>
      </w:r>
      <w:r w:rsidR="00713229">
        <w:rPr>
          <w:rFonts w:ascii="Times New Roman" w:hAnsi="Times New Roman" w:cs="Times New Roman"/>
          <w:lang w:val="en-US"/>
        </w:rPr>
        <w:t>5</w:t>
      </w:r>
      <w:r>
        <w:rPr>
          <w:rFonts w:ascii="Times New Roman" w:hAnsi="Times New Roman" w:cs="Times New Roman"/>
          <w:lang w:val="en-US"/>
        </w:rPr>
        <w:t>]</w:t>
      </w:r>
      <w:r>
        <w:rPr>
          <w:rFonts w:ascii="Times New Roman" w:hAnsi="Times New Roman" w:cs="Times New Roman"/>
          <w:lang w:val="en-US"/>
        </w:rPr>
        <w:tab/>
        <w:t xml:space="preserve">S. R. Kline, </w:t>
      </w:r>
      <w:r>
        <w:rPr>
          <w:rFonts w:ascii="Times New Roman" w:hAnsi="Times New Roman" w:cs="Times New Roman"/>
          <w:i/>
          <w:lang w:val="en-US"/>
        </w:rPr>
        <w:t>Journal of applied crystallography</w:t>
      </w:r>
      <w:r>
        <w:rPr>
          <w:rFonts w:ascii="Times New Roman" w:hAnsi="Times New Roman" w:cs="Times New Roman"/>
          <w:lang w:val="en-US"/>
        </w:rPr>
        <w:t xml:space="preserve"> </w:t>
      </w:r>
      <w:r>
        <w:rPr>
          <w:rFonts w:ascii="Times New Roman" w:hAnsi="Times New Roman" w:cs="Times New Roman"/>
          <w:b/>
          <w:lang w:val="en-US"/>
        </w:rPr>
        <w:t>2006</w:t>
      </w:r>
      <w:r>
        <w:rPr>
          <w:rFonts w:ascii="Times New Roman" w:hAnsi="Times New Roman" w:cs="Times New Roman"/>
          <w:lang w:val="en-US"/>
        </w:rPr>
        <w:t>, 39, 895.</w:t>
      </w:r>
    </w:p>
    <w:p w14:paraId="6139FCDB" w14:textId="6479C87E" w:rsidR="00041963" w:rsidRDefault="00041963" w:rsidP="00041963">
      <w:pPr>
        <w:pStyle w:val="EndNoteBibliography"/>
        <w:spacing w:after="0"/>
        <w:rPr>
          <w:rFonts w:ascii="Times New Roman" w:hAnsi="Times New Roman" w:cs="Times New Roman"/>
          <w:lang w:val="en-US"/>
        </w:rPr>
      </w:pPr>
      <w:r>
        <w:rPr>
          <w:rFonts w:ascii="Times New Roman" w:hAnsi="Times New Roman" w:cs="Times New Roman"/>
          <w:lang w:val="en-US"/>
        </w:rPr>
        <w:t>[</w:t>
      </w:r>
      <w:r w:rsidR="00713229">
        <w:rPr>
          <w:rFonts w:ascii="Times New Roman" w:hAnsi="Times New Roman" w:cs="Times New Roman"/>
          <w:lang w:val="en-US"/>
        </w:rPr>
        <w:t>6</w:t>
      </w:r>
      <w:r>
        <w:rPr>
          <w:rFonts w:ascii="Times New Roman" w:hAnsi="Times New Roman" w:cs="Times New Roman"/>
          <w:lang w:val="en-US"/>
        </w:rPr>
        <w:t>]</w:t>
      </w:r>
      <w:r>
        <w:rPr>
          <w:rFonts w:ascii="Times New Roman" w:hAnsi="Times New Roman" w:cs="Times New Roman"/>
          <w:lang w:val="en-US"/>
        </w:rPr>
        <w:tab/>
        <w:t xml:space="preserve">K. Wood, J. P. Mata, C. J. Garvey, C. M. Wu, W. A. Hamilton, P. Abbeywick, D. Bartlett, F. Bartsch, P. Baxter, N. Booth, </w:t>
      </w:r>
      <w:r>
        <w:rPr>
          <w:rFonts w:ascii="Times New Roman" w:hAnsi="Times New Roman" w:cs="Times New Roman"/>
          <w:i/>
          <w:lang w:val="en-US"/>
        </w:rPr>
        <w:t>Journal of Applied Crystallography</w:t>
      </w:r>
      <w:r>
        <w:rPr>
          <w:rFonts w:ascii="Times New Roman" w:hAnsi="Times New Roman" w:cs="Times New Roman"/>
          <w:lang w:val="en-US"/>
        </w:rPr>
        <w:t xml:space="preserve"> </w:t>
      </w:r>
      <w:r>
        <w:rPr>
          <w:rFonts w:ascii="Times New Roman" w:hAnsi="Times New Roman" w:cs="Times New Roman"/>
          <w:b/>
          <w:lang w:val="en-US"/>
        </w:rPr>
        <w:t>2018</w:t>
      </w:r>
      <w:r>
        <w:rPr>
          <w:rFonts w:ascii="Times New Roman" w:hAnsi="Times New Roman" w:cs="Times New Roman"/>
          <w:lang w:val="en-US"/>
        </w:rPr>
        <w:t>, 51, 294.</w:t>
      </w:r>
    </w:p>
    <w:p w14:paraId="0874327A" w14:textId="5129A7D2" w:rsidR="00522E24" w:rsidRDefault="00522E24" w:rsidP="00522E24">
      <w:pPr>
        <w:pStyle w:val="EndNoteBibliography"/>
        <w:spacing w:after="0"/>
        <w:rPr>
          <w:rFonts w:ascii="Times New Roman" w:eastAsiaTheme="minorEastAsia" w:hAnsi="Times New Roman" w:cs="Times New Roman"/>
          <w:lang w:val="en-US"/>
        </w:rPr>
      </w:pPr>
      <w:r>
        <w:rPr>
          <w:rFonts w:ascii="Times New Roman" w:hAnsi="Times New Roman" w:cs="Times New Roman"/>
          <w:lang w:val="en-US"/>
        </w:rPr>
        <w:t>[</w:t>
      </w:r>
      <w:r>
        <w:rPr>
          <w:rFonts w:ascii="Times New Roman" w:hAnsi="Times New Roman" w:cs="Times New Roman"/>
          <w:lang w:val="en-US"/>
        </w:rPr>
        <w:t>7</w:t>
      </w:r>
      <w:r>
        <w:rPr>
          <w:rFonts w:ascii="Times New Roman" w:hAnsi="Times New Roman" w:cs="Times New Roman"/>
          <w:lang w:val="en-US"/>
        </w:rPr>
        <w:t>]</w:t>
      </w:r>
      <w:r>
        <w:rPr>
          <w:rFonts w:ascii="Times New Roman" w:hAnsi="Times New Roman" w:cs="Times New Roman"/>
          <w:lang w:val="en-US"/>
        </w:rPr>
        <w:tab/>
        <w:t xml:space="preserve">K. M. Weigandt, D. C. Pozzo, L. Porcar, </w:t>
      </w:r>
      <w:r>
        <w:rPr>
          <w:rFonts w:ascii="Times New Roman" w:hAnsi="Times New Roman" w:cs="Times New Roman"/>
          <w:i/>
          <w:lang w:val="en-US"/>
        </w:rPr>
        <w:t>Soft Matter</w:t>
      </w:r>
      <w:r>
        <w:rPr>
          <w:rFonts w:ascii="Times New Roman" w:hAnsi="Times New Roman" w:cs="Times New Roman"/>
          <w:lang w:val="en-US"/>
        </w:rPr>
        <w:t xml:space="preserve"> </w:t>
      </w:r>
      <w:r>
        <w:rPr>
          <w:rFonts w:ascii="Times New Roman" w:hAnsi="Times New Roman" w:cs="Times New Roman"/>
          <w:b/>
          <w:lang w:val="en-US"/>
        </w:rPr>
        <w:t>2009</w:t>
      </w:r>
      <w:r>
        <w:rPr>
          <w:rFonts w:ascii="Times New Roman" w:hAnsi="Times New Roman" w:cs="Times New Roman"/>
          <w:lang w:val="en-US"/>
        </w:rPr>
        <w:t>, 5, 4321.</w:t>
      </w:r>
    </w:p>
    <w:p w14:paraId="08A65A2B" w14:textId="20D8325A" w:rsidR="00041963" w:rsidRDefault="00041963" w:rsidP="00041963">
      <w:pPr>
        <w:pStyle w:val="EndNoteBibliography"/>
        <w:spacing w:after="0"/>
        <w:rPr>
          <w:rFonts w:ascii="Times New Roman" w:hAnsi="Times New Roman" w:cs="Times New Roman"/>
          <w:lang w:val="en-US"/>
        </w:rPr>
      </w:pPr>
      <w:r>
        <w:rPr>
          <w:rFonts w:ascii="Times New Roman" w:hAnsi="Times New Roman" w:cs="Times New Roman"/>
          <w:lang w:val="en-US"/>
        </w:rPr>
        <w:t>[</w:t>
      </w:r>
      <w:r w:rsidR="00522E24">
        <w:rPr>
          <w:rFonts w:ascii="Times New Roman" w:hAnsi="Times New Roman" w:cs="Times New Roman"/>
          <w:lang w:val="en-US"/>
        </w:rPr>
        <w:t>8</w:t>
      </w:r>
      <w:r>
        <w:rPr>
          <w:rFonts w:ascii="Times New Roman" w:hAnsi="Times New Roman" w:cs="Times New Roman"/>
          <w:lang w:val="en-US"/>
        </w:rPr>
        <w:t>]</w:t>
      </w:r>
      <w:r>
        <w:rPr>
          <w:rFonts w:ascii="Times New Roman" w:hAnsi="Times New Roman" w:cs="Times New Roman"/>
          <w:lang w:val="en-US"/>
        </w:rPr>
        <w:tab/>
        <w:t xml:space="preserve">M. Doucet, J. H. Cho, G. Alina, J. Bakker, W. Bouwman, P. Butler, K. Campbell, M. Gonzales, R. Heenan, A. Jackson, </w:t>
      </w:r>
      <w:r>
        <w:rPr>
          <w:rFonts w:ascii="Times New Roman" w:hAnsi="Times New Roman" w:cs="Times New Roman"/>
          <w:i/>
          <w:lang w:val="en-US"/>
        </w:rPr>
        <w:t>Zenodo and http://www. sasview. org</w:t>
      </w:r>
      <w:r>
        <w:rPr>
          <w:rFonts w:ascii="Times New Roman" w:hAnsi="Times New Roman" w:cs="Times New Roman"/>
          <w:lang w:val="en-US"/>
        </w:rPr>
        <w:t xml:space="preserve"> </w:t>
      </w:r>
      <w:r>
        <w:rPr>
          <w:rFonts w:ascii="Times New Roman" w:hAnsi="Times New Roman" w:cs="Times New Roman"/>
          <w:b/>
          <w:lang w:val="en-US"/>
        </w:rPr>
        <w:t>2017</w:t>
      </w:r>
      <w:r>
        <w:rPr>
          <w:rFonts w:ascii="Times New Roman" w:hAnsi="Times New Roman" w:cs="Times New Roman"/>
          <w:lang w:val="en-US"/>
        </w:rPr>
        <w:t>.</w:t>
      </w:r>
    </w:p>
    <w:p w14:paraId="70DDD9B7" w14:textId="27764CF9" w:rsidR="00041963" w:rsidRDefault="00041963" w:rsidP="00041963">
      <w:pPr>
        <w:pStyle w:val="EndNoteBibliography"/>
        <w:spacing w:after="0"/>
        <w:rPr>
          <w:rFonts w:ascii="Times New Roman" w:hAnsi="Times New Roman" w:cs="Times New Roman"/>
          <w:lang w:val="en-US"/>
        </w:rPr>
      </w:pPr>
      <w:r>
        <w:rPr>
          <w:rFonts w:ascii="Times New Roman" w:hAnsi="Times New Roman" w:cs="Times New Roman"/>
          <w:lang w:val="en-US"/>
        </w:rPr>
        <w:t>[</w:t>
      </w:r>
      <w:r w:rsidR="00D22877">
        <w:rPr>
          <w:rFonts w:ascii="Times New Roman" w:hAnsi="Times New Roman" w:cs="Times New Roman"/>
          <w:lang w:val="en-US"/>
        </w:rPr>
        <w:t>9</w:t>
      </w:r>
      <w:r>
        <w:rPr>
          <w:rFonts w:ascii="Times New Roman" w:hAnsi="Times New Roman" w:cs="Times New Roman"/>
          <w:lang w:val="en-US"/>
        </w:rPr>
        <w:t>]</w:t>
      </w:r>
      <w:r>
        <w:rPr>
          <w:rFonts w:ascii="Times New Roman" w:hAnsi="Times New Roman" w:cs="Times New Roman"/>
          <w:lang w:val="en-US"/>
        </w:rPr>
        <w:tab/>
        <w:t xml:space="preserve">A. E. X. Brown, R. I. Litvinov, D. E. Discher, P. K. Purohit, J. W. Weisel, </w:t>
      </w:r>
      <w:r>
        <w:rPr>
          <w:rFonts w:ascii="Times New Roman" w:hAnsi="Times New Roman" w:cs="Times New Roman"/>
          <w:i/>
          <w:lang w:val="en-US"/>
        </w:rPr>
        <w:t>Science</w:t>
      </w:r>
      <w:r>
        <w:rPr>
          <w:rFonts w:ascii="Times New Roman" w:hAnsi="Times New Roman" w:cs="Times New Roman"/>
          <w:lang w:val="en-US"/>
        </w:rPr>
        <w:t xml:space="preserve"> </w:t>
      </w:r>
      <w:r>
        <w:rPr>
          <w:rFonts w:ascii="Times New Roman" w:hAnsi="Times New Roman" w:cs="Times New Roman"/>
          <w:b/>
          <w:lang w:val="en-US"/>
        </w:rPr>
        <w:t>2009</w:t>
      </w:r>
      <w:r>
        <w:rPr>
          <w:rFonts w:ascii="Times New Roman" w:hAnsi="Times New Roman" w:cs="Times New Roman"/>
          <w:lang w:val="en-US"/>
        </w:rPr>
        <w:t>, 325, 741.</w:t>
      </w:r>
    </w:p>
    <w:p w14:paraId="09F6473B" w14:textId="4E2139FB" w:rsidR="00041963" w:rsidRDefault="00041963" w:rsidP="00041963">
      <w:pPr>
        <w:pStyle w:val="EndNoteBibliography"/>
        <w:rPr>
          <w:rFonts w:ascii="Times New Roman" w:hAnsi="Times New Roman" w:cs="Times New Roman"/>
          <w:lang w:val="en-US"/>
        </w:rPr>
      </w:pPr>
      <w:r>
        <w:rPr>
          <w:rFonts w:ascii="Times New Roman" w:hAnsi="Times New Roman" w:cs="Times New Roman"/>
          <w:lang w:val="en-US"/>
        </w:rPr>
        <w:t>[</w:t>
      </w:r>
      <w:r w:rsidR="00D22877">
        <w:rPr>
          <w:rFonts w:ascii="Times New Roman" w:hAnsi="Times New Roman" w:cs="Times New Roman"/>
          <w:lang w:val="en-US"/>
        </w:rPr>
        <w:t>10</w:t>
      </w:r>
      <w:r>
        <w:rPr>
          <w:rFonts w:ascii="Times New Roman" w:hAnsi="Times New Roman" w:cs="Times New Roman"/>
          <w:lang w:val="en-US"/>
        </w:rPr>
        <w:t>]</w:t>
      </w:r>
      <w:r>
        <w:rPr>
          <w:rFonts w:ascii="Times New Roman" w:hAnsi="Times New Roman" w:cs="Times New Roman"/>
          <w:lang w:val="en-US"/>
        </w:rPr>
        <w:tab/>
        <w:t xml:space="preserve">M. De Spirito, G. Arcovito, M. Papi, M. Rocco, F. Ferri, </w:t>
      </w:r>
      <w:r>
        <w:rPr>
          <w:rFonts w:ascii="Times New Roman" w:hAnsi="Times New Roman" w:cs="Times New Roman"/>
          <w:i/>
          <w:lang w:val="en-US"/>
        </w:rPr>
        <w:t>Journal of applied crystallography</w:t>
      </w:r>
      <w:r>
        <w:rPr>
          <w:rFonts w:ascii="Times New Roman" w:hAnsi="Times New Roman" w:cs="Times New Roman"/>
          <w:lang w:val="en-US"/>
        </w:rPr>
        <w:t xml:space="preserve"> </w:t>
      </w:r>
      <w:r>
        <w:rPr>
          <w:rFonts w:ascii="Times New Roman" w:hAnsi="Times New Roman" w:cs="Times New Roman"/>
          <w:b/>
          <w:lang w:val="en-US"/>
        </w:rPr>
        <w:t>2003</w:t>
      </w:r>
      <w:r>
        <w:rPr>
          <w:rFonts w:ascii="Times New Roman" w:hAnsi="Times New Roman" w:cs="Times New Roman"/>
          <w:lang w:val="en-US"/>
        </w:rPr>
        <w:t>, 36, 636.</w:t>
      </w:r>
    </w:p>
    <w:p w14:paraId="47E3C077" w14:textId="77777777" w:rsidR="00041963" w:rsidRDefault="00041963"/>
    <w:sectPr w:rsidR="000419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E7"/>
    <w:rsid w:val="00041963"/>
    <w:rsid w:val="000D3657"/>
    <w:rsid w:val="00127A24"/>
    <w:rsid w:val="00522E24"/>
    <w:rsid w:val="00713229"/>
    <w:rsid w:val="00A322B8"/>
    <w:rsid w:val="00A975B9"/>
    <w:rsid w:val="00AF76C3"/>
    <w:rsid w:val="00BC5315"/>
    <w:rsid w:val="00D22877"/>
    <w:rsid w:val="00DE3CA0"/>
    <w:rsid w:val="00F105E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83FE"/>
  <w15:chartTrackingRefBased/>
  <w15:docId w15:val="{5A25D516-427E-47AF-9A6B-A06F4D31F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657"/>
    <w:pPr>
      <w:spacing w:after="0" w:line="240" w:lineRule="auto"/>
    </w:pPr>
    <w:rPr>
      <w:rFonts w:ascii="Times New Roman" w:eastAsia="MS Mincho" w:hAnsi="Times New Roman" w:cs="Times New Roman"/>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 1"/>
    <w:basedOn w:val="Normal"/>
    <w:autoRedefine/>
    <w:rsid w:val="000D3657"/>
    <w:pPr>
      <w:spacing w:line="360" w:lineRule="auto"/>
    </w:pPr>
    <w:rPr>
      <w:b/>
      <w:lang w:val="en-US"/>
    </w:rPr>
  </w:style>
  <w:style w:type="character" w:customStyle="1" w:styleId="EndNoteBibliographyChar">
    <w:name w:val="EndNote Bibliography Char"/>
    <w:basedOn w:val="DefaultParagraphFont"/>
    <w:link w:val="EndNoteBibliography"/>
    <w:locked/>
    <w:rsid w:val="00041963"/>
    <w:rPr>
      <w:rFonts w:ascii="DengXian" w:eastAsia="DengXian" w:hAnsi="DengXian"/>
      <w:noProof/>
      <w:sz w:val="24"/>
    </w:rPr>
  </w:style>
  <w:style w:type="paragraph" w:customStyle="1" w:styleId="EndNoteBibliography">
    <w:name w:val="EndNote Bibliography"/>
    <w:basedOn w:val="Normal"/>
    <w:link w:val="EndNoteBibliographyChar"/>
    <w:rsid w:val="00041963"/>
    <w:pPr>
      <w:spacing w:after="160"/>
    </w:pPr>
    <w:rPr>
      <w:rFonts w:ascii="DengXian" w:eastAsia="DengXian" w:hAnsi="DengXian" w:cstheme="minorBidi"/>
      <w:noProof/>
      <w:szCs w:val="22"/>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920921">
      <w:bodyDiv w:val="1"/>
      <w:marLeft w:val="0"/>
      <w:marRight w:val="0"/>
      <w:marTop w:val="0"/>
      <w:marBottom w:val="0"/>
      <w:divBdr>
        <w:top w:val="none" w:sz="0" w:space="0" w:color="auto"/>
        <w:left w:val="none" w:sz="0" w:space="0" w:color="auto"/>
        <w:bottom w:val="none" w:sz="0" w:space="0" w:color="auto"/>
        <w:right w:val="none" w:sz="0" w:space="0" w:color="auto"/>
      </w:divBdr>
    </w:div>
    <w:div w:id="362290629">
      <w:bodyDiv w:val="1"/>
      <w:marLeft w:val="0"/>
      <w:marRight w:val="0"/>
      <w:marTop w:val="0"/>
      <w:marBottom w:val="0"/>
      <w:divBdr>
        <w:top w:val="none" w:sz="0" w:space="0" w:color="auto"/>
        <w:left w:val="none" w:sz="0" w:space="0" w:color="auto"/>
        <w:bottom w:val="none" w:sz="0" w:space="0" w:color="auto"/>
        <w:right w:val="none" w:sz="0" w:space="0" w:color="auto"/>
      </w:divBdr>
    </w:div>
    <w:div w:id="214080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3710</Words>
  <Characters>21150</Characters>
  <Application>Microsoft Office Word</Application>
  <DocSecurity>0</DocSecurity>
  <Lines>176</Lines>
  <Paragraphs>49</Paragraphs>
  <ScaleCrop>false</ScaleCrop>
  <Company>The University of Queensland</Company>
  <LinksUpToDate>false</LinksUpToDate>
  <CharactersWithSpaces>24811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Wang</dc:creator>
  <cp:keywords/>
  <dc:description/>
  <cp:lastModifiedBy>Zhao Wang</cp:lastModifiedBy>
  <cp:revision>11</cp:revision>
  <dcterms:created xsi:type="dcterms:W3CDTF">2022-08-03T23:00:00Z</dcterms:created>
  <dcterms:modified xsi:type="dcterms:W3CDTF">2022-08-03T23:48:00Z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2022-08-03T23:00:26Z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56d8522c-340f-4351-a294-e8229f8fd284</vt:lpwstr>
  </property>
  <property fmtid="{D5CDD505-2E9C-101B-9397-08002B2CF9AE}" pid="8" name="MSIP_Label_0f488380-630a-4f55-a077-a19445e3f360_ContentBits">
    <vt:lpwstr>0</vt:lpwstr>
  </property>
</Properties>
</file>