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5E8568" w14:textId="77777777" w:rsidR="00FB5126" w:rsidRDefault="00FB5126" w:rsidP="00FB5126">
      <w:pPr>
        <w:pStyle w:val="Title2"/>
        <w:spacing w:line="360" w:lineRule="auto"/>
        <w:rPr>
          <w:bCs/>
          <w:sz w:val="32"/>
          <w:szCs w:val="32"/>
        </w:rPr>
      </w:pPr>
      <w:r>
        <w:rPr>
          <w:bCs/>
          <w:sz w:val="32"/>
          <w:szCs w:val="32"/>
        </w:rPr>
        <w:t>Supplementary files</w:t>
      </w:r>
    </w:p>
    <w:p w14:paraId="2330D8F9" w14:textId="77777777" w:rsidR="00FB5126" w:rsidRDefault="00FB5126" w:rsidP="00FB5126">
      <w:pPr>
        <w:pStyle w:val="Tableofcontents"/>
        <w:spacing w:line="360" w:lineRule="auto"/>
      </w:pPr>
    </w:p>
    <w:p w14:paraId="24009B68" w14:textId="77777777" w:rsidR="00FB5126" w:rsidRDefault="00FB5126" w:rsidP="00FB5126">
      <w:pPr>
        <w:pStyle w:val="Maintext"/>
        <w:spacing w:line="360" w:lineRule="auto"/>
      </w:pPr>
    </w:p>
    <w:p w14:paraId="46569B2E" w14:textId="4A9003C0" w:rsidR="00FB5126" w:rsidRDefault="00FB5126" w:rsidP="00FB5126">
      <w:pPr>
        <w:jc w:val="center"/>
        <w:rPr>
          <w:b/>
          <w:lang w:val="en-US"/>
        </w:rPr>
      </w:pPr>
      <w:bookmarkStart w:id="0" w:name="_Hlk98532753"/>
      <w:bookmarkEnd w:id="0"/>
      <w:r>
        <w:rPr>
          <w:b/>
          <w:noProof/>
          <w:lang w:val="en-US"/>
        </w:rPr>
        <w:drawing>
          <wp:inline distT="0" distB="0" distL="0" distR="0" wp14:anchorId="1026BCC5" wp14:editId="6733D56F">
            <wp:extent cx="2733675" cy="16383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33675" cy="1638300"/>
                    </a:xfrm>
                    <a:prstGeom prst="rect">
                      <a:avLst/>
                    </a:prstGeom>
                    <a:noFill/>
                    <a:ln>
                      <a:noFill/>
                    </a:ln>
                  </pic:spPr>
                </pic:pic>
              </a:graphicData>
            </a:graphic>
          </wp:inline>
        </w:drawing>
      </w:r>
    </w:p>
    <w:p w14:paraId="038C089C" w14:textId="77777777" w:rsidR="00FB5126" w:rsidRDefault="00FB5126" w:rsidP="00FB5126">
      <w:pPr>
        <w:rPr>
          <w:iCs/>
          <w:lang w:val="en-US"/>
        </w:rPr>
      </w:pPr>
      <w:r>
        <w:rPr>
          <w:b/>
          <w:lang w:val="en-US"/>
        </w:rPr>
        <w:t xml:space="preserve">Figure S1. </w:t>
      </w:r>
      <w:r>
        <w:rPr>
          <w:bCs/>
          <w:lang w:val="en-US"/>
        </w:rPr>
        <w:t>Gelation lag time of the fibrin networks formed by the snake venom-controlled and thrombin-initiated systems.</w:t>
      </w:r>
      <w:r>
        <w:rPr>
          <w:b/>
          <w:lang w:val="en-US"/>
        </w:rPr>
        <w:t xml:space="preserve"> </w:t>
      </w:r>
      <w:r>
        <w:rPr>
          <w:lang w:val="en-US"/>
        </w:rPr>
        <w:t xml:space="preserve">Gelation lag time was obtained from rheological measurements and defined as the time when the storage modulus </w:t>
      </w:r>
      <w:r>
        <w:rPr>
          <w:i/>
          <w:lang w:val="en-US"/>
        </w:rPr>
        <w:t>G</w:t>
      </w:r>
      <w:r>
        <w:rPr>
          <w:i/>
          <w:iCs/>
          <w:lang w:val="en-US"/>
        </w:rPr>
        <w:t>'</w:t>
      </w:r>
      <w:r>
        <w:rPr>
          <w:lang w:val="en-US"/>
        </w:rPr>
        <w:t xml:space="preserve"> of the network reached 5 Pa during polymerization.</w:t>
      </w:r>
      <w:r>
        <w:rPr>
          <w:bCs/>
          <w:lang w:val="en-US"/>
        </w:rPr>
        <w:t xml:space="preserve"> Ecarin/prothrombin was pre-heated </w:t>
      </w:r>
      <w:r>
        <w:rPr>
          <w:lang w:val="en-US"/>
        </w:rPr>
        <w:t xml:space="preserve">at </w:t>
      </w:r>
      <w:r>
        <w:rPr>
          <w:bCs/>
          <w:lang w:val="en-US"/>
        </w:rPr>
        <w:t>37 °C for 5 min, while t</w:t>
      </w:r>
      <w:r>
        <w:rPr>
          <w:lang w:val="en-US"/>
        </w:rPr>
        <w:t xml:space="preserve">hrombin was pre-heated at </w:t>
      </w:r>
      <w:r>
        <w:rPr>
          <w:bCs/>
          <w:lang w:val="en-US"/>
        </w:rPr>
        <w:t xml:space="preserve">37 °C </w:t>
      </w:r>
      <w:r>
        <w:rPr>
          <w:lang w:val="en-US"/>
        </w:rPr>
        <w:t xml:space="preserve">for either 5 min (dots) or 10 min (circles) before initiation. For gelation lag time analysis, data from different batches of fibrinogen were included and shown as mean ± SD. </w:t>
      </w:r>
      <w:r>
        <w:rPr>
          <w:iCs/>
          <w:lang w:val="en-US"/>
        </w:rPr>
        <w:t xml:space="preserve">Some data do not show an error bar due to a subtle variation. </w:t>
      </w:r>
    </w:p>
    <w:p w14:paraId="2E32F46E" w14:textId="77777777" w:rsidR="00FB5126" w:rsidRDefault="00FB5126" w:rsidP="00FB5126">
      <w:pPr>
        <w:rPr>
          <w:lang w:val="en-US"/>
        </w:rPr>
      </w:pPr>
    </w:p>
    <w:p w14:paraId="73D7FCCB" w14:textId="4A00CEFD" w:rsidR="00FB5126" w:rsidRDefault="00FB5126" w:rsidP="00FB5126">
      <w:pPr>
        <w:jc w:val="center"/>
        <w:rPr>
          <w:b/>
          <w:lang w:val="en-US"/>
        </w:rPr>
      </w:pPr>
      <w:r>
        <w:rPr>
          <w:b/>
          <w:noProof/>
          <w:lang w:val="en-US"/>
        </w:rPr>
        <w:drawing>
          <wp:inline distT="0" distB="0" distL="0" distR="0" wp14:anchorId="39249813" wp14:editId="45D9A7A2">
            <wp:extent cx="5731510" cy="2642870"/>
            <wp:effectExtent l="0" t="0" r="254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2642870"/>
                    </a:xfrm>
                    <a:prstGeom prst="rect">
                      <a:avLst/>
                    </a:prstGeom>
                    <a:noFill/>
                    <a:ln>
                      <a:noFill/>
                    </a:ln>
                  </pic:spPr>
                </pic:pic>
              </a:graphicData>
            </a:graphic>
          </wp:inline>
        </w:drawing>
      </w:r>
    </w:p>
    <w:p w14:paraId="4009F9F9" w14:textId="77777777" w:rsidR="00FB5126" w:rsidRDefault="00FB5126" w:rsidP="00FB5126">
      <w:pPr>
        <w:rPr>
          <w:lang w:val="en-US"/>
        </w:rPr>
      </w:pPr>
      <w:r>
        <w:rPr>
          <w:b/>
          <w:lang w:val="en-US"/>
        </w:rPr>
        <w:t xml:space="preserve">Figure S2.  </w:t>
      </w:r>
      <w:r>
        <w:rPr>
          <w:bCs/>
          <w:lang w:val="en-US"/>
        </w:rPr>
        <w:t>SANS/USANS data of the snake venom-controlled and thrombin-initiated systems.</w:t>
      </w:r>
      <w:r>
        <w:rPr>
          <w:lang w:val="en-US"/>
        </w:rPr>
        <w:t xml:space="preserve"> </w:t>
      </w:r>
      <w:r>
        <w:rPr>
          <w:bCs/>
          <w:lang w:val="en-US"/>
        </w:rPr>
        <w:t xml:space="preserve">a) </w:t>
      </w:r>
      <w:r>
        <w:rPr>
          <w:lang w:val="en-US"/>
        </w:rPr>
        <w:t>Combined neutron scattering profiles of the snake venom-controlled fibrin networks (S1</w:t>
      </w:r>
      <w:r>
        <w:rPr>
          <w:bCs/>
          <w:lang w:val="en-US"/>
        </w:rPr>
        <w:t>–S9</w:t>
      </w:r>
      <w:r>
        <w:rPr>
          <w:lang w:val="en-US"/>
        </w:rPr>
        <w:t>) dissolved in 90% D</w:t>
      </w:r>
      <w:r>
        <w:rPr>
          <w:vertAlign w:val="subscript"/>
          <w:lang w:val="en-US"/>
        </w:rPr>
        <w:t>2</w:t>
      </w:r>
      <w:r>
        <w:rPr>
          <w:lang w:val="en-US"/>
        </w:rPr>
        <w:t xml:space="preserve">O are shown. The scattering from three </w:t>
      </w:r>
      <w:proofErr w:type="spellStart"/>
      <w:r>
        <w:rPr>
          <w:lang w:val="en-US"/>
        </w:rPr>
        <w:t>Porod</w:t>
      </w:r>
      <w:proofErr w:type="spellEnd"/>
      <w:r>
        <w:rPr>
          <w:lang w:val="en-US"/>
        </w:rPr>
        <w:t xml:space="preserve"> regions (highlighted within the rectangles) was fitted and analyzed to yield details on the corresponding associated structures. </w:t>
      </w:r>
      <w:r>
        <w:rPr>
          <w:bCs/>
          <w:lang w:val="en-US"/>
        </w:rPr>
        <w:t xml:space="preserve">b) </w:t>
      </w:r>
      <w:r>
        <w:rPr>
          <w:lang w:val="en-US"/>
        </w:rPr>
        <w:t>Fiber density was determined from the volume fraction (</w:t>
      </w:r>
      <m:oMath>
        <m:sSub>
          <m:sSubPr>
            <m:ctrlPr>
              <w:rPr>
                <w:rFonts w:ascii="Cambria Math" w:hAnsi="Cambria Math"/>
                <w:i/>
                <w:lang w:val="en-US"/>
              </w:rPr>
            </m:ctrlPr>
          </m:sSubPr>
          <m:e>
            <m:r>
              <w:rPr>
                <w:rFonts w:ascii="Cambria Math" w:hAnsi="Cambria Math"/>
                <w:lang w:val="en-US"/>
              </w:rPr>
              <m:t>φ</m:t>
            </m:r>
          </m:e>
          <m:sub>
            <m:r>
              <w:rPr>
                <w:rFonts w:ascii="Cambria Math" w:hAnsi="Cambria Math"/>
                <w:lang w:val="en-US"/>
              </w:rPr>
              <m:t>Int</m:t>
            </m:r>
          </m:sub>
        </m:sSub>
      </m:oMath>
      <w:r>
        <w:rPr>
          <w:lang w:val="en-US"/>
        </w:rPr>
        <w:t xml:space="preserve">) of the protofibrils within fibers. </w:t>
      </w:r>
      <w:r>
        <w:rPr>
          <w:bCs/>
          <w:lang w:val="en-US"/>
        </w:rPr>
        <w:t>c)</w:t>
      </w:r>
      <w:r>
        <w:rPr>
          <w:lang w:val="en-US"/>
        </w:rPr>
        <w:t xml:space="preserve"> Fiber surface area was determined by the specific surface area (</w:t>
      </w:r>
      <m:oMath>
        <m:sSub>
          <m:sSubPr>
            <m:ctrlPr>
              <w:rPr>
                <w:rFonts w:ascii="Cambria Math" w:hAnsi="Cambria Math"/>
                <w:i/>
                <w:lang w:val="en-US"/>
              </w:rPr>
            </m:ctrlPr>
          </m:sSubPr>
          <m:e>
            <m:r>
              <w:rPr>
                <w:rFonts w:ascii="Cambria Math" w:hAnsi="Cambria Math"/>
                <w:lang w:val="en-US"/>
              </w:rPr>
              <m:t>S</m:t>
            </m:r>
          </m:e>
          <m:sub>
            <m:r>
              <w:rPr>
                <w:rFonts w:ascii="Cambria Math" w:hAnsi="Cambria Math"/>
                <w:lang w:val="en-US"/>
              </w:rPr>
              <m:t>v</m:t>
            </m:r>
          </m:sub>
        </m:sSub>
      </m:oMath>
      <w:r>
        <w:rPr>
          <w:lang w:val="en-US"/>
        </w:rPr>
        <w:t xml:space="preserve">) by invariant analysis. </w:t>
      </w:r>
      <w:r>
        <w:rPr>
          <w:bCs/>
          <w:lang w:val="en-US"/>
        </w:rPr>
        <w:t>d)</w:t>
      </w:r>
      <w:r>
        <w:rPr>
          <w:lang w:val="en-US"/>
        </w:rPr>
        <w:t xml:space="preserve"> The average number of protofibrils per fiber (</w:t>
      </w:r>
      <w:r>
        <w:rPr>
          <w:i/>
          <w:lang w:val="en-US"/>
        </w:rPr>
        <w:t>Np</w:t>
      </w:r>
      <w:r>
        <w:rPr>
          <w:lang w:val="en-US"/>
        </w:rPr>
        <w:t xml:space="preserve">) was analyzed using the diameter and volume fraction data. </w:t>
      </w:r>
      <w:r>
        <w:rPr>
          <w:bCs/>
          <w:lang w:val="en-US"/>
        </w:rPr>
        <w:t>e)</w:t>
      </w:r>
      <w:r>
        <w:rPr>
          <w:lang w:val="en-US"/>
        </w:rPr>
        <w:t xml:space="preserve"> Fibrin branching was determined by fractal dimension (</w:t>
      </w:r>
      <m:oMath>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f</m:t>
            </m:r>
          </m:sub>
        </m:sSub>
      </m:oMath>
      <w:r>
        <w:rPr>
          <w:lang w:val="en-US"/>
        </w:rPr>
        <w:t xml:space="preserve">) using fractal analysis. All fractal dimension values are between 1.68 and 3 indicated by dashed lines, while </w:t>
      </w:r>
      <m:oMath>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f</m:t>
            </m:r>
          </m:sub>
        </m:sSub>
        <m:r>
          <w:rPr>
            <w:rFonts w:ascii="Cambria Math" w:hAnsi="Cambria Math"/>
            <w:lang w:val="en-US"/>
          </w:rPr>
          <m:t>=</m:t>
        </m:r>
      </m:oMath>
      <w:r>
        <w:rPr>
          <w:lang w:val="en-US"/>
        </w:rPr>
        <w:t xml:space="preserve">1.68 (5/3) is the signature value for fully unbranched swollen coils in the Porod region and </w:t>
      </w:r>
      <m:oMath>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f</m:t>
            </m:r>
          </m:sub>
        </m:sSub>
      </m:oMath>
      <w:r>
        <w:rPr>
          <w:lang w:val="en-US"/>
        </w:rPr>
        <w:t xml:space="preserve"> approaches 3 for branched networks. </w:t>
      </w:r>
    </w:p>
    <w:p w14:paraId="59C7939B" w14:textId="77777777" w:rsidR="00FB5126" w:rsidRDefault="00FB5126" w:rsidP="00FB5126">
      <w:pPr>
        <w:rPr>
          <w:lang w:val="en-US"/>
        </w:rPr>
      </w:pPr>
    </w:p>
    <w:p w14:paraId="58768C74" w14:textId="686AA08F" w:rsidR="00FB5126" w:rsidRDefault="00FB5126" w:rsidP="00FB5126">
      <w:pPr>
        <w:jc w:val="center"/>
        <w:rPr>
          <w:lang w:val="en-US"/>
        </w:rPr>
      </w:pPr>
      <w:r>
        <w:rPr>
          <w:noProof/>
          <w:lang w:val="en-US"/>
        </w:rPr>
        <w:drawing>
          <wp:inline distT="0" distB="0" distL="0" distR="0" wp14:anchorId="4BEAE7D2" wp14:editId="6DBF8BFF">
            <wp:extent cx="5505450" cy="19526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05450" cy="1952625"/>
                    </a:xfrm>
                    <a:prstGeom prst="rect">
                      <a:avLst/>
                    </a:prstGeom>
                    <a:noFill/>
                    <a:ln>
                      <a:noFill/>
                    </a:ln>
                  </pic:spPr>
                </pic:pic>
              </a:graphicData>
            </a:graphic>
          </wp:inline>
        </w:drawing>
      </w:r>
    </w:p>
    <w:p w14:paraId="56F7349A" w14:textId="77777777" w:rsidR="00FB5126" w:rsidRDefault="00FB5126" w:rsidP="00FB5126">
      <w:pPr>
        <w:spacing w:before="240"/>
        <w:rPr>
          <w:lang w:val="en-US"/>
        </w:rPr>
      </w:pPr>
      <w:r>
        <w:rPr>
          <w:b/>
          <w:lang w:val="en-US"/>
        </w:rPr>
        <w:t xml:space="preserve">Figure S3. </w:t>
      </w:r>
      <w:r>
        <w:rPr>
          <w:bCs/>
          <w:lang w:val="en-US"/>
        </w:rPr>
        <w:t>Cleavage activity of the snake venom-controlled and thrombin-initiated systems.</w:t>
      </w:r>
      <w:r>
        <w:rPr>
          <w:lang w:val="en-US"/>
        </w:rPr>
        <w:t xml:space="preserve"> a,</w:t>
      </w:r>
      <w:r>
        <w:rPr>
          <w:b/>
          <w:bCs/>
          <w:lang w:val="en-US"/>
        </w:rPr>
        <w:t xml:space="preserve"> </w:t>
      </w:r>
      <w:r>
        <w:rPr>
          <w:lang w:val="en-US"/>
        </w:rPr>
        <w:t>b</w:t>
      </w:r>
      <w:r>
        <w:rPr>
          <w:bCs/>
          <w:lang w:val="en-US"/>
        </w:rPr>
        <w:t>)</w:t>
      </w:r>
      <w:r>
        <w:rPr>
          <w:lang w:val="en-US"/>
        </w:rPr>
        <w:t xml:space="preserve"> Cleavage absorbance reading </w:t>
      </w:r>
      <w:r>
        <w:rPr>
          <w:bCs/>
          <w:lang w:val="en-US"/>
        </w:rPr>
        <w:t>A</w:t>
      </w:r>
      <w:r>
        <w:rPr>
          <w:bCs/>
          <w:vertAlign w:val="subscript"/>
          <w:lang w:val="en-US"/>
        </w:rPr>
        <w:t xml:space="preserve">(405-490nm) </w:t>
      </w:r>
      <w:r>
        <w:rPr>
          <w:lang w:val="en-US"/>
        </w:rPr>
        <w:t xml:space="preserve">and cleavage rate </w:t>
      </w:r>
      <w:r>
        <w:rPr>
          <w:bCs/>
          <w:lang w:val="en-US"/>
        </w:rPr>
        <w:t xml:space="preserve">ΔA/min </w:t>
      </w:r>
      <w:r>
        <w:rPr>
          <w:lang w:val="en-US"/>
        </w:rPr>
        <w:t>(insets) curves of thrombin (</w:t>
      </w:r>
      <w:r>
        <w:rPr>
          <w:bCs/>
          <w:lang w:val="en-US"/>
        </w:rPr>
        <w:t xml:space="preserve">at </w:t>
      </w:r>
      <w:r>
        <w:rPr>
          <w:lang w:val="en-US"/>
        </w:rPr>
        <w:t>10</w:t>
      </w:r>
      <w:r>
        <w:rPr>
          <w:vertAlign w:val="superscript"/>
          <w:lang w:val="en-US"/>
        </w:rPr>
        <w:t>-5</w:t>
      </w:r>
      <w:r>
        <w:rPr>
          <w:lang w:val="en-US"/>
        </w:rPr>
        <w:t xml:space="preserve"> Unit μL</w:t>
      </w:r>
      <w:r>
        <w:rPr>
          <w:bCs/>
          <w:vertAlign w:val="superscript"/>
          <w:lang w:val="en-US"/>
        </w:rPr>
        <w:t>-1</w:t>
      </w:r>
      <w:r>
        <w:rPr>
          <w:lang w:val="en-US"/>
        </w:rPr>
        <w:t>, 10</w:t>
      </w:r>
      <w:r>
        <w:rPr>
          <w:vertAlign w:val="superscript"/>
          <w:lang w:val="en-US"/>
        </w:rPr>
        <w:t xml:space="preserve">-4 </w:t>
      </w:r>
      <w:r>
        <w:rPr>
          <w:lang w:val="en-US"/>
        </w:rPr>
        <w:t>Unit μL</w:t>
      </w:r>
      <w:r>
        <w:rPr>
          <w:bCs/>
          <w:vertAlign w:val="superscript"/>
          <w:lang w:val="en-US"/>
        </w:rPr>
        <w:t>-1</w:t>
      </w:r>
      <w:r>
        <w:rPr>
          <w:lang w:val="en-US"/>
        </w:rPr>
        <w:t>, 10</w:t>
      </w:r>
      <w:r>
        <w:rPr>
          <w:vertAlign w:val="superscript"/>
          <w:lang w:val="en-US"/>
        </w:rPr>
        <w:t>-3</w:t>
      </w:r>
      <w:r>
        <w:rPr>
          <w:lang w:val="en-US"/>
        </w:rPr>
        <w:t xml:space="preserve"> Unit μL</w:t>
      </w:r>
      <w:r>
        <w:rPr>
          <w:bCs/>
          <w:vertAlign w:val="superscript"/>
          <w:lang w:val="en-US"/>
        </w:rPr>
        <w:t>-1</w:t>
      </w:r>
      <w:r>
        <w:rPr>
          <w:bCs/>
          <w:lang w:val="en-US"/>
        </w:rPr>
        <w:t xml:space="preserve">, </w:t>
      </w:r>
      <w:r>
        <w:rPr>
          <w:lang w:val="en-US"/>
        </w:rPr>
        <w:t>and 10</w:t>
      </w:r>
      <w:r>
        <w:rPr>
          <w:vertAlign w:val="superscript"/>
          <w:lang w:val="en-US"/>
        </w:rPr>
        <w:t>-2</w:t>
      </w:r>
      <w:r>
        <w:rPr>
          <w:lang w:val="en-US"/>
        </w:rPr>
        <w:t xml:space="preserve"> Unit μL</w:t>
      </w:r>
      <w:r>
        <w:rPr>
          <w:bCs/>
          <w:vertAlign w:val="superscript"/>
          <w:lang w:val="en-US"/>
        </w:rPr>
        <w:t>-1</w:t>
      </w:r>
      <w:r>
        <w:rPr>
          <w:lang w:val="en-US"/>
        </w:rPr>
        <w:t xml:space="preserve">) and ecarin/prothrombin (S4, S5, and S6) systems measured using a chromogenic substrate assay (S2238). Thrombin or ecarin/prothrombin was either pre-heated at </w:t>
      </w:r>
      <w:r>
        <w:rPr>
          <w:bCs/>
          <w:lang w:val="en-US"/>
        </w:rPr>
        <w:t xml:space="preserve">37 °C </w:t>
      </w:r>
      <w:r>
        <w:rPr>
          <w:lang w:val="en-US"/>
        </w:rPr>
        <w:t xml:space="preserve">for 5 min (solid lines) or 10 min (dashed lines) before initiation. The time points when the absorbance reading reached the threshold ~0.0035 were detected and labeled as vertical lines. </w:t>
      </w:r>
    </w:p>
    <w:p w14:paraId="64A9D873" w14:textId="77777777" w:rsidR="00FB5126" w:rsidRDefault="00FB5126" w:rsidP="00FB5126">
      <w:pPr>
        <w:spacing w:before="240"/>
        <w:rPr>
          <w:lang w:val="en-US"/>
        </w:rPr>
      </w:pPr>
    </w:p>
    <w:p w14:paraId="62E1B22E" w14:textId="4558D64C" w:rsidR="00FB5126" w:rsidRDefault="00FB5126" w:rsidP="00FB5126">
      <w:pPr>
        <w:spacing w:before="240"/>
        <w:rPr>
          <w:lang w:val="en-US"/>
        </w:rPr>
      </w:pPr>
      <w:r>
        <w:rPr>
          <w:noProof/>
          <w:lang w:val="en-US"/>
        </w:rPr>
        <w:drawing>
          <wp:inline distT="0" distB="0" distL="0" distR="0" wp14:anchorId="0DCC31BE" wp14:editId="4ECDB9AC">
            <wp:extent cx="5731510" cy="1356995"/>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1356995"/>
                    </a:xfrm>
                    <a:prstGeom prst="rect">
                      <a:avLst/>
                    </a:prstGeom>
                    <a:noFill/>
                    <a:ln>
                      <a:noFill/>
                    </a:ln>
                  </pic:spPr>
                </pic:pic>
              </a:graphicData>
            </a:graphic>
          </wp:inline>
        </w:drawing>
      </w:r>
    </w:p>
    <w:p w14:paraId="077D78F7" w14:textId="77777777" w:rsidR="00FB5126" w:rsidRDefault="00FB5126" w:rsidP="00FB5126">
      <w:pPr>
        <w:rPr>
          <w:b/>
          <w:lang w:val="en-US"/>
        </w:rPr>
      </w:pPr>
      <w:r>
        <w:rPr>
          <w:b/>
          <w:lang w:val="en-US"/>
        </w:rPr>
        <w:t xml:space="preserve">Figure S4. </w:t>
      </w:r>
      <w:r>
        <w:rPr>
          <w:bCs/>
          <w:lang w:val="en-US"/>
        </w:rPr>
        <w:t xml:space="preserve">Influence of the addition of </w:t>
      </w:r>
      <w:proofErr w:type="spellStart"/>
      <w:r>
        <w:rPr>
          <w:bCs/>
          <w:lang w:val="en-US"/>
        </w:rPr>
        <w:t>pFXIII</w:t>
      </w:r>
      <w:proofErr w:type="spellEnd"/>
      <w:r>
        <w:rPr>
          <w:bCs/>
          <w:lang w:val="en-US"/>
        </w:rPr>
        <w:t xml:space="preserve"> and D004 on the mechanical properties and pore size of fibrin networks.</w:t>
      </w:r>
      <w:r>
        <w:rPr>
          <w:b/>
          <w:lang w:val="en-US"/>
        </w:rPr>
        <w:t xml:space="preserve"> </w:t>
      </w:r>
      <w:r>
        <w:rPr>
          <w:bCs/>
          <w:iCs/>
          <w:lang w:val="en-US"/>
        </w:rPr>
        <w:t>a–c</w:t>
      </w:r>
      <w:r>
        <w:rPr>
          <w:lang w:val="en-US"/>
        </w:rPr>
        <w:t>)</w:t>
      </w:r>
      <w:r>
        <w:rPr>
          <w:b/>
          <w:iCs/>
          <w:lang w:val="en-US"/>
        </w:rPr>
        <w:t xml:space="preserve"> </w:t>
      </w:r>
      <w:r>
        <w:rPr>
          <w:bCs/>
          <w:iCs/>
          <w:lang w:val="en-US"/>
        </w:rPr>
        <w:t xml:space="preserve">Tuning of mechanical properties including matrix stiffness (a) and loss factor (b) and pore size of the networks S4 and S6 formed from the same batch (B4a in Table S1) of fibrinogen by addition of different concentrations of </w:t>
      </w:r>
      <w:proofErr w:type="spellStart"/>
      <w:r>
        <w:rPr>
          <w:bCs/>
          <w:iCs/>
          <w:lang w:val="en-US"/>
        </w:rPr>
        <w:t>pFXIII</w:t>
      </w:r>
      <w:proofErr w:type="spellEnd"/>
      <w:r>
        <w:rPr>
          <w:bCs/>
          <w:iCs/>
          <w:lang w:val="en-US"/>
        </w:rPr>
        <w:t xml:space="preserve"> and D004. The network without any addition (-/-) was set as control.</w:t>
      </w:r>
      <w:r>
        <w:rPr>
          <w:lang w:val="en-US"/>
        </w:rPr>
        <w:t xml:space="preserve"> Data are shown as mean value ± SD.</w:t>
      </w:r>
    </w:p>
    <w:p w14:paraId="73963E92" w14:textId="77777777" w:rsidR="00FB5126" w:rsidRDefault="00FB5126" w:rsidP="00FB5126">
      <w:pPr>
        <w:jc w:val="center"/>
        <w:rPr>
          <w:b/>
          <w:lang w:val="en-US"/>
        </w:rPr>
      </w:pPr>
    </w:p>
    <w:p w14:paraId="65EB52A2" w14:textId="138DCD09" w:rsidR="00FB5126" w:rsidRDefault="00FB5126" w:rsidP="00FB5126">
      <w:pPr>
        <w:jc w:val="center"/>
        <w:rPr>
          <w:b/>
          <w:lang w:val="en-US"/>
        </w:rPr>
      </w:pPr>
      <w:r>
        <w:rPr>
          <w:noProof/>
          <w:lang w:val="en-US"/>
        </w:rPr>
        <w:drawing>
          <wp:inline distT="0" distB="0" distL="0" distR="0" wp14:anchorId="6D9D0051" wp14:editId="012C177D">
            <wp:extent cx="5505450" cy="1857375"/>
            <wp:effectExtent l="0" t="0" r="0" b="9525"/>
            <wp:docPr id="11" name="Picture 11"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picture containing tabl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05450" cy="1857375"/>
                    </a:xfrm>
                    <a:prstGeom prst="rect">
                      <a:avLst/>
                    </a:prstGeom>
                    <a:noFill/>
                    <a:ln>
                      <a:noFill/>
                    </a:ln>
                  </pic:spPr>
                </pic:pic>
              </a:graphicData>
            </a:graphic>
          </wp:inline>
        </w:drawing>
      </w:r>
    </w:p>
    <w:p w14:paraId="0FCE0AC3" w14:textId="77777777" w:rsidR="00FB5126" w:rsidRDefault="00FB5126" w:rsidP="00FB5126">
      <w:pPr>
        <w:rPr>
          <w:lang w:val="en-US"/>
        </w:rPr>
      </w:pPr>
      <w:r>
        <w:rPr>
          <w:b/>
          <w:lang w:val="en-US"/>
        </w:rPr>
        <w:t xml:space="preserve">Figure S5. </w:t>
      </w:r>
      <w:r>
        <w:rPr>
          <w:bCs/>
          <w:lang w:val="en-US"/>
        </w:rPr>
        <w:t>FXIII variation in different fibrinogen samples.</w:t>
      </w:r>
      <w:r>
        <w:rPr>
          <w:b/>
          <w:lang w:val="en-US"/>
        </w:rPr>
        <w:t xml:space="preserve"> </w:t>
      </w:r>
      <w:r>
        <w:rPr>
          <w:bCs/>
          <w:lang w:val="en-US"/>
        </w:rPr>
        <w:t>a)</w:t>
      </w:r>
      <w:r>
        <w:rPr>
          <w:b/>
          <w:lang w:val="en-US"/>
        </w:rPr>
        <w:t xml:space="preserve"> </w:t>
      </w:r>
      <w:r>
        <w:rPr>
          <w:lang w:val="en-US"/>
        </w:rPr>
        <w:t xml:space="preserve">FXIII concentration in different batches of purified fibrinogen samples was quantified by reducing SDS-PAGE as the weight </w:t>
      </w:r>
      <w:r>
        <w:rPr>
          <w:lang w:val="en-US"/>
        </w:rPr>
        <w:lastRenderedPageBreak/>
        <w:t xml:space="preserve">fraction in fibrinogen (w/w%). The standard FXIII protein (84 </w:t>
      </w:r>
      <w:proofErr w:type="spellStart"/>
      <w:r>
        <w:rPr>
          <w:lang w:val="en-US"/>
        </w:rPr>
        <w:t>kDa</w:t>
      </w:r>
      <w:proofErr w:type="spellEnd"/>
      <w:r>
        <w:rPr>
          <w:lang w:val="en-US"/>
        </w:rPr>
        <w:t>, black arrow) served as a control. Quantified values of FXIII concentrations are listed below each batch and compared with the FXIII activity measured by FXIII activity assays. FXIII activity was tested at 4 mg mL</w:t>
      </w:r>
      <w:r>
        <w:rPr>
          <w:vertAlign w:val="superscript"/>
          <w:lang w:val="en-US"/>
        </w:rPr>
        <w:t>-1</w:t>
      </w:r>
      <w:r>
        <w:rPr>
          <w:lang w:val="en-US"/>
        </w:rPr>
        <w:t xml:space="preserve"> of fibrinogen and expressed as the activity per 1 mg mL</w:t>
      </w:r>
      <w:r>
        <w:rPr>
          <w:vertAlign w:val="superscript"/>
          <w:lang w:val="en-US"/>
        </w:rPr>
        <w:t>-1</w:t>
      </w:r>
      <w:r>
        <w:rPr>
          <w:lang w:val="en-US"/>
        </w:rPr>
        <w:t xml:space="preserve"> of fibrinogen. All data are shown as mean values. b</w:t>
      </w:r>
      <w:r>
        <w:rPr>
          <w:bCs/>
          <w:lang w:val="en-US"/>
        </w:rPr>
        <w:t>)</w:t>
      </w:r>
      <w:r>
        <w:rPr>
          <w:lang w:val="en-US"/>
        </w:rPr>
        <w:t xml:space="preserve"> Relationship between FXIII concentration and FXIII activity in different batches of purified fibrinogen samples. A linear relationship was detected by linear regression analysis.</w:t>
      </w:r>
    </w:p>
    <w:p w14:paraId="6E7FA29E" w14:textId="77777777" w:rsidR="00FB5126" w:rsidRDefault="00FB5126" w:rsidP="00FB5126">
      <w:pPr>
        <w:rPr>
          <w:lang w:val="en-US"/>
        </w:rPr>
      </w:pPr>
    </w:p>
    <w:p w14:paraId="318E880D" w14:textId="2922FFF8" w:rsidR="00FB5126" w:rsidRDefault="00FB5126" w:rsidP="00FB5126">
      <w:pPr>
        <w:jc w:val="center"/>
        <w:rPr>
          <w:b/>
          <w:lang w:val="en-US"/>
        </w:rPr>
      </w:pPr>
      <w:r>
        <w:rPr>
          <w:b/>
          <w:noProof/>
          <w:lang w:val="en-US"/>
        </w:rPr>
        <w:drawing>
          <wp:inline distT="0" distB="0" distL="0" distR="0" wp14:anchorId="3B220967" wp14:editId="78CB4500">
            <wp:extent cx="1714500" cy="15430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0" cy="1543050"/>
                    </a:xfrm>
                    <a:prstGeom prst="rect">
                      <a:avLst/>
                    </a:prstGeom>
                    <a:noFill/>
                    <a:ln>
                      <a:noFill/>
                    </a:ln>
                  </pic:spPr>
                </pic:pic>
              </a:graphicData>
            </a:graphic>
          </wp:inline>
        </w:drawing>
      </w:r>
    </w:p>
    <w:p w14:paraId="44062FEB" w14:textId="77777777" w:rsidR="00FB5126" w:rsidRDefault="00FB5126" w:rsidP="00FB5126">
      <w:pPr>
        <w:rPr>
          <w:bCs/>
          <w:lang w:val="en-US"/>
        </w:rPr>
      </w:pPr>
      <w:r>
        <w:rPr>
          <w:b/>
          <w:lang w:val="en-US"/>
        </w:rPr>
        <w:t xml:space="preserve">Figure S6. </w:t>
      </w:r>
      <w:r>
        <w:rPr>
          <w:bCs/>
          <w:lang w:val="en-US"/>
        </w:rPr>
        <w:t>Relationship between the endogenous FXIII activities of different batches of fibrinogen and the gelation lag time of the formed fibrin networks. Both the original untuned values (circles) and tuned values (dots) of gelation lag times of different fibrin networks were plotted as a function of endogenous FXIII activities of different batches of fibrinogen. Data are shown as mean values ± SD.</w:t>
      </w:r>
    </w:p>
    <w:p w14:paraId="3C691201" w14:textId="77777777" w:rsidR="00FB5126" w:rsidRDefault="00FB5126" w:rsidP="00FB5126">
      <w:pPr>
        <w:rPr>
          <w:lang w:val="en-US"/>
        </w:rPr>
      </w:pPr>
    </w:p>
    <w:p w14:paraId="25E47CB8" w14:textId="3107084B" w:rsidR="00FB5126" w:rsidRDefault="00FB5126" w:rsidP="00FB5126">
      <w:pPr>
        <w:rPr>
          <w:b/>
          <w:lang w:val="en-US"/>
        </w:rPr>
      </w:pPr>
      <w:r>
        <w:rPr>
          <w:noProof/>
          <w:lang w:val="en-US"/>
        </w:rPr>
        <w:drawing>
          <wp:inline distT="0" distB="0" distL="0" distR="0" wp14:anchorId="23CF9680" wp14:editId="0BB4C570">
            <wp:extent cx="5667375" cy="37338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67375" cy="3733800"/>
                    </a:xfrm>
                    <a:prstGeom prst="rect">
                      <a:avLst/>
                    </a:prstGeom>
                    <a:noFill/>
                    <a:ln>
                      <a:noFill/>
                    </a:ln>
                  </pic:spPr>
                </pic:pic>
              </a:graphicData>
            </a:graphic>
          </wp:inline>
        </w:drawing>
      </w:r>
    </w:p>
    <w:p w14:paraId="499155D7" w14:textId="77777777" w:rsidR="00FB5126" w:rsidRDefault="00FB5126" w:rsidP="00FB5126">
      <w:pPr>
        <w:rPr>
          <w:b/>
          <w:lang w:val="en-US"/>
        </w:rPr>
      </w:pPr>
      <w:r>
        <w:rPr>
          <w:b/>
          <w:lang w:val="en-US"/>
        </w:rPr>
        <w:t xml:space="preserve">Figure S7. </w:t>
      </w:r>
      <w:r>
        <w:rPr>
          <w:bCs/>
          <w:lang w:val="en-US"/>
        </w:rPr>
        <w:t>Influence of addition of fibronectin on fibrin pore size and stiffness.</w:t>
      </w:r>
      <w:r>
        <w:rPr>
          <w:b/>
          <w:lang w:val="en-US"/>
        </w:rPr>
        <w:t xml:space="preserve"> </w:t>
      </w:r>
      <w:r>
        <w:rPr>
          <w:bCs/>
          <w:lang w:val="en-US"/>
        </w:rPr>
        <w:t>a)</w:t>
      </w:r>
      <w:r>
        <w:rPr>
          <w:b/>
          <w:lang w:val="en-US"/>
        </w:rPr>
        <w:t xml:space="preserve"> </w:t>
      </w:r>
      <w:r>
        <w:rPr>
          <w:bCs/>
          <w:lang w:val="en-US"/>
        </w:rPr>
        <w:t>Characterization of different batches of purified fibronectin (</w:t>
      </w:r>
      <w:proofErr w:type="spellStart"/>
      <w:r>
        <w:rPr>
          <w:bCs/>
          <w:lang w:val="en-US"/>
        </w:rPr>
        <w:t>pFn</w:t>
      </w:r>
      <w:proofErr w:type="spellEnd"/>
      <w:r>
        <w:rPr>
          <w:bCs/>
          <w:lang w:val="en-US"/>
        </w:rPr>
        <w:t>) products by either reducing (R) or non-reducing (NR) SDS-PAGE. Different bends including fibronectin-fibrinogen complex (</w:t>
      </w:r>
      <w:proofErr w:type="spellStart"/>
      <w:r>
        <w:rPr>
          <w:bCs/>
          <w:lang w:val="en-US"/>
        </w:rPr>
        <w:t>Fn-Fg</w:t>
      </w:r>
      <w:proofErr w:type="spellEnd"/>
      <w:r>
        <w:rPr>
          <w:bCs/>
          <w:lang w:val="en-US"/>
        </w:rPr>
        <w:t xml:space="preserve">), fibronectin dimers, fibrinogen dimers, and fibronectin monomers were labeled according to the individual molecular weight. The percentage of </w:t>
      </w:r>
      <w:proofErr w:type="spellStart"/>
      <w:r>
        <w:rPr>
          <w:bCs/>
          <w:lang w:val="en-US"/>
        </w:rPr>
        <w:t>Fn-Fg</w:t>
      </w:r>
      <w:proofErr w:type="spellEnd"/>
      <w:r>
        <w:rPr>
          <w:bCs/>
          <w:lang w:val="en-US"/>
        </w:rPr>
        <w:t xml:space="preserve"> complex in the final purified fibronectin products was calculated by semi-quantitative analysis. pFn-B8 </w:t>
      </w:r>
      <w:r>
        <w:rPr>
          <w:bCs/>
          <w:lang w:val="en-US"/>
        </w:rPr>
        <w:lastRenderedPageBreak/>
        <w:t xml:space="preserve">was selected for fibronectin addition in this study as the high purity (~95%) of the </w:t>
      </w:r>
      <w:proofErr w:type="spellStart"/>
      <w:r>
        <w:rPr>
          <w:bCs/>
          <w:lang w:val="en-US"/>
        </w:rPr>
        <w:t>Fn-Fg</w:t>
      </w:r>
      <w:proofErr w:type="spellEnd"/>
      <w:r>
        <w:rPr>
          <w:bCs/>
          <w:lang w:val="en-US"/>
        </w:rPr>
        <w:t xml:space="preserve"> complex, which yields incorporated fibronectin in final fibrin networks. b) Final concentration of fibronectin in the final fibrinogen (4 mg </w:t>
      </w:r>
      <w:proofErr w:type="gramStart"/>
      <w:r>
        <w:rPr>
          <w:bCs/>
          <w:lang w:val="en-US"/>
        </w:rPr>
        <w:t>mL</w:t>
      </w:r>
      <w:r>
        <w:rPr>
          <w:bCs/>
          <w:vertAlign w:val="superscript"/>
          <w:lang w:val="en-US"/>
        </w:rPr>
        <w:t>-1</w:t>
      </w:r>
      <w:proofErr w:type="gramEnd"/>
      <w:r>
        <w:rPr>
          <w:bCs/>
          <w:lang w:val="en-US"/>
        </w:rPr>
        <w:t xml:space="preserve">) was tuned by the addition of different ratios of </w:t>
      </w:r>
      <w:proofErr w:type="spellStart"/>
      <w:r>
        <w:rPr>
          <w:bCs/>
          <w:lang w:val="en-US"/>
        </w:rPr>
        <w:t>pFn</w:t>
      </w:r>
      <w:proofErr w:type="spellEnd"/>
      <w:r>
        <w:rPr>
          <w:bCs/>
          <w:lang w:val="en-US"/>
        </w:rPr>
        <w:t xml:space="preserve"> to </w:t>
      </w:r>
      <w:proofErr w:type="spellStart"/>
      <w:r>
        <w:rPr>
          <w:bCs/>
          <w:lang w:val="en-US"/>
        </w:rPr>
        <w:t>pFg.</w:t>
      </w:r>
      <w:proofErr w:type="spellEnd"/>
      <w:r>
        <w:rPr>
          <w:bCs/>
          <w:lang w:val="en-US"/>
        </w:rPr>
        <w:t xml:space="preserve"> The final concentration of fibronectin was detected by reducing SDS-PAGE and semi-quantitative analysis. </w:t>
      </w:r>
      <w:proofErr w:type="spellStart"/>
      <w:r>
        <w:rPr>
          <w:bCs/>
          <w:lang w:val="en-US"/>
        </w:rPr>
        <w:t>pFg</w:t>
      </w:r>
      <w:proofErr w:type="spellEnd"/>
      <w:r>
        <w:rPr>
          <w:bCs/>
          <w:lang w:val="en-US"/>
        </w:rPr>
        <w:t xml:space="preserve">, purified fibrinogen. </w:t>
      </w:r>
      <w:proofErr w:type="spellStart"/>
      <w:r>
        <w:rPr>
          <w:bCs/>
          <w:lang w:val="en-US"/>
        </w:rPr>
        <w:t>pFn</w:t>
      </w:r>
      <w:proofErr w:type="spellEnd"/>
      <w:r>
        <w:rPr>
          <w:bCs/>
          <w:lang w:val="en-US"/>
        </w:rPr>
        <w:t>, purified fibronectin. c, d) Influence of addition of purified fibronectin on the fibrin pore size (c) and matrix stiffness (d). Two networks (S4 and S6) formed from different batches of purified fibrinogen were detected.</w:t>
      </w:r>
    </w:p>
    <w:p w14:paraId="6796FF61" w14:textId="77777777" w:rsidR="00FB5126" w:rsidRDefault="00FB5126" w:rsidP="00FB5126">
      <w:pPr>
        <w:rPr>
          <w:b/>
          <w:lang w:val="en-US"/>
        </w:rPr>
      </w:pPr>
    </w:p>
    <w:p w14:paraId="26D02A1F" w14:textId="0F78FD04" w:rsidR="00FB5126" w:rsidRDefault="00FB5126" w:rsidP="00FB5126">
      <w:pPr>
        <w:rPr>
          <w:b/>
          <w:lang w:val="en-US"/>
        </w:rPr>
      </w:pPr>
      <w:r>
        <w:rPr>
          <w:b/>
          <w:noProof/>
          <w:lang w:val="en-US"/>
        </w:rPr>
        <w:drawing>
          <wp:inline distT="0" distB="0" distL="0" distR="0" wp14:anchorId="6DCD7D6C" wp14:editId="04280CA0">
            <wp:extent cx="5731510" cy="1660525"/>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1660525"/>
                    </a:xfrm>
                    <a:prstGeom prst="rect">
                      <a:avLst/>
                    </a:prstGeom>
                    <a:noFill/>
                    <a:ln>
                      <a:noFill/>
                    </a:ln>
                  </pic:spPr>
                </pic:pic>
              </a:graphicData>
            </a:graphic>
          </wp:inline>
        </w:drawing>
      </w:r>
    </w:p>
    <w:p w14:paraId="1AECA0BC" w14:textId="77777777" w:rsidR="00FB5126" w:rsidRDefault="00FB5126" w:rsidP="00FB5126">
      <w:pPr>
        <w:rPr>
          <w:lang w:val="en-US"/>
        </w:rPr>
      </w:pPr>
      <w:r>
        <w:rPr>
          <w:b/>
          <w:lang w:val="en-US"/>
        </w:rPr>
        <w:t xml:space="preserve">Figure S8. </w:t>
      </w:r>
      <w:r>
        <w:rPr>
          <w:bCs/>
          <w:lang w:val="en-US"/>
        </w:rPr>
        <w:t>Long-term stability of the fibrin networks controlled by textilinin.</w:t>
      </w:r>
      <w:r>
        <w:rPr>
          <w:lang w:val="en-US"/>
        </w:rPr>
        <w:t xml:space="preserve"> Characterization of degradation of fibrin networks (S4 and S6) with different FXIII activities (tuned by the addition of </w:t>
      </w:r>
      <w:proofErr w:type="spellStart"/>
      <w:r>
        <w:rPr>
          <w:lang w:val="en-US"/>
        </w:rPr>
        <w:t>pFXIII</w:t>
      </w:r>
      <w:proofErr w:type="spellEnd"/>
      <w:r>
        <w:rPr>
          <w:lang w:val="en-US"/>
        </w:rPr>
        <w:t xml:space="preserve"> or D004) measured by turbidimetry. Representative absorbance curves of the fibrin networks (S4 and S6) with different FXIII activity are shown in (a). Degradation half-time is defined as the time when absorbance reading decreases to half of its maximum value. b</w:t>
      </w:r>
      <w:r>
        <w:rPr>
          <w:bCs/>
          <w:lang w:val="en-US"/>
        </w:rPr>
        <w:t>)</w:t>
      </w:r>
      <w:r>
        <w:rPr>
          <w:lang w:val="en-US"/>
        </w:rPr>
        <w:t xml:space="preserve"> Degradation half-time of the formed S4 and S6 networks obtained from 3 replicates. Data are shown as mean value ± SD. c</w:t>
      </w:r>
      <w:r>
        <w:rPr>
          <w:bCs/>
          <w:lang w:val="en-US"/>
        </w:rPr>
        <w:t>)</w:t>
      </w:r>
      <w:r>
        <w:rPr>
          <w:lang w:val="en-US"/>
        </w:rPr>
        <w:t xml:space="preserve"> Long-term stability of fibrin networks (S4 and S6) was determined by absorbance reading as a function of increasing concentrations of textilinin (0–10 </w:t>
      </w:r>
      <w:r>
        <w:rPr>
          <w:iCs/>
          <w:lang w:val="en-US"/>
        </w:rPr>
        <w:t>µ</w:t>
      </w:r>
      <w:r>
        <w:rPr>
          <w:iCs/>
          <w:smallCaps/>
          <w:lang w:val="en-US"/>
        </w:rPr>
        <w:t>m</w:t>
      </w:r>
      <w:r>
        <w:rPr>
          <w:lang w:val="en-US"/>
        </w:rPr>
        <w:t>).</w:t>
      </w:r>
    </w:p>
    <w:p w14:paraId="02DF0BFD" w14:textId="5C8814E7" w:rsidR="00FB5126" w:rsidRDefault="00FB5126" w:rsidP="00FB5126">
      <w:pPr>
        <w:jc w:val="center"/>
        <w:rPr>
          <w:b/>
          <w:lang w:val="en-US"/>
        </w:rPr>
      </w:pPr>
      <w:r>
        <w:rPr>
          <w:b/>
          <w:noProof/>
          <w:lang w:val="en-US"/>
        </w:rPr>
        <w:drawing>
          <wp:inline distT="0" distB="0" distL="0" distR="0" wp14:anchorId="7F5178AA" wp14:editId="48B17FFE">
            <wp:extent cx="4448175" cy="32385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48175" cy="3238500"/>
                    </a:xfrm>
                    <a:prstGeom prst="rect">
                      <a:avLst/>
                    </a:prstGeom>
                    <a:noFill/>
                    <a:ln>
                      <a:noFill/>
                    </a:ln>
                  </pic:spPr>
                </pic:pic>
              </a:graphicData>
            </a:graphic>
          </wp:inline>
        </w:drawing>
      </w:r>
    </w:p>
    <w:p w14:paraId="41DBAB86" w14:textId="77777777" w:rsidR="00FB5126" w:rsidRDefault="00FB5126" w:rsidP="00FB5126">
      <w:pPr>
        <w:rPr>
          <w:lang w:val="en-US"/>
        </w:rPr>
      </w:pPr>
      <w:r>
        <w:rPr>
          <w:b/>
          <w:lang w:val="en-US"/>
        </w:rPr>
        <w:t xml:space="preserve">Figure S9. </w:t>
      </w:r>
      <w:r>
        <w:rPr>
          <w:bCs/>
          <w:lang w:val="en-US"/>
        </w:rPr>
        <w:t>Biophysical details of fibrin networks used for cell experiments. a)</w:t>
      </w:r>
      <w:r>
        <w:rPr>
          <w:lang w:val="en-US"/>
        </w:rPr>
        <w:t xml:space="preserve"> Confocal microscopy images of the fibrin networks (S4 and S6) with different stiffness tuned by the addition of D004 with or without 0.4 mg mL</w:t>
      </w:r>
      <w:r>
        <w:rPr>
          <w:bCs/>
          <w:vertAlign w:val="superscript"/>
          <w:lang w:val="en-US"/>
        </w:rPr>
        <w:t>-1</w:t>
      </w:r>
      <w:r>
        <w:rPr>
          <w:lang w:val="en-US"/>
        </w:rPr>
        <w:t xml:space="preserve"> of fibronectin. Images are shown as single z-</w:t>
      </w:r>
      <w:r>
        <w:rPr>
          <w:lang w:val="en-US"/>
        </w:rPr>
        <w:lastRenderedPageBreak/>
        <w:t xml:space="preserve">frame with an area of </w:t>
      </w:r>
      <w:r>
        <w:rPr>
          <w:iCs/>
          <w:lang w:val="en-US"/>
        </w:rPr>
        <w:t>290 µm ×</w:t>
      </w:r>
      <w:r>
        <w:rPr>
          <w:lang w:val="en-US"/>
        </w:rPr>
        <w:t xml:space="preserve"> </w:t>
      </w:r>
      <w:r>
        <w:rPr>
          <w:iCs/>
          <w:lang w:val="en-US"/>
        </w:rPr>
        <w:t>290 µm. Scale bar, 100 µm. b, c</w:t>
      </w:r>
      <w:r>
        <w:rPr>
          <w:bCs/>
          <w:lang w:val="en-US"/>
        </w:rPr>
        <w:t>)</w:t>
      </w:r>
      <w:r>
        <w:rPr>
          <w:iCs/>
          <w:lang w:val="en-US"/>
        </w:rPr>
        <w:t xml:space="preserve"> Either pore size (b) or bulk stiffness (c) of these networks were measured and shown as </w:t>
      </w:r>
      <w:r>
        <w:rPr>
          <w:lang w:val="en-US"/>
        </w:rPr>
        <w:t>mean value ± SD.</w:t>
      </w:r>
    </w:p>
    <w:p w14:paraId="234FF984" w14:textId="77777777" w:rsidR="00FB5126" w:rsidRDefault="00FB5126" w:rsidP="00FB5126">
      <w:pPr>
        <w:rPr>
          <w:lang w:val="en-US"/>
        </w:rPr>
      </w:pPr>
    </w:p>
    <w:p w14:paraId="4E241285" w14:textId="126289B0" w:rsidR="00FB5126" w:rsidRDefault="00FB5126" w:rsidP="00FB5126">
      <w:pPr>
        <w:jc w:val="center"/>
        <w:rPr>
          <w:b/>
          <w:lang w:val="en-US"/>
        </w:rPr>
      </w:pPr>
      <w:r>
        <w:rPr>
          <w:b/>
          <w:noProof/>
          <w:lang w:val="en-US"/>
        </w:rPr>
        <w:drawing>
          <wp:inline distT="0" distB="0" distL="0" distR="0" wp14:anchorId="738F0944" wp14:editId="62EBFD55">
            <wp:extent cx="3067050" cy="27908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67050" cy="2790825"/>
                    </a:xfrm>
                    <a:prstGeom prst="rect">
                      <a:avLst/>
                    </a:prstGeom>
                    <a:noFill/>
                    <a:ln>
                      <a:noFill/>
                    </a:ln>
                  </pic:spPr>
                </pic:pic>
              </a:graphicData>
            </a:graphic>
          </wp:inline>
        </w:drawing>
      </w:r>
    </w:p>
    <w:p w14:paraId="58E762CA" w14:textId="77777777" w:rsidR="00FB5126" w:rsidRDefault="00FB5126" w:rsidP="00FB5126">
      <w:pPr>
        <w:rPr>
          <w:lang w:val="en-US"/>
        </w:rPr>
      </w:pPr>
      <w:r>
        <w:rPr>
          <w:b/>
          <w:lang w:val="en-US"/>
        </w:rPr>
        <w:t xml:space="preserve">Figure S10. </w:t>
      </w:r>
      <w:r>
        <w:rPr>
          <w:bCs/>
          <w:lang w:val="en-US"/>
        </w:rPr>
        <w:t>Cell growth curve for fibroblasts in different fibrin networks.</w:t>
      </w:r>
      <w:r>
        <w:rPr>
          <w:b/>
          <w:lang w:val="en-US"/>
        </w:rPr>
        <w:t xml:space="preserve"> </w:t>
      </w:r>
      <w:r>
        <w:rPr>
          <w:bCs/>
          <w:lang w:val="en-US"/>
        </w:rPr>
        <w:t>Live cell number (</w:t>
      </w:r>
      <w:proofErr w:type="spellStart"/>
      <w:r>
        <w:rPr>
          <w:bCs/>
          <w:lang w:val="en-US"/>
        </w:rPr>
        <w:t>Calcein</w:t>
      </w:r>
      <w:proofErr w:type="spellEnd"/>
      <w:r>
        <w:rPr>
          <w:bCs/>
          <w:lang w:val="en-US"/>
        </w:rPr>
        <w:t xml:space="preserve">+) was counted for the fibroblasts in different fibrin networks from 1 hour to 7 days after encapsulation. </w:t>
      </w:r>
      <w:r>
        <w:rPr>
          <w:lang w:val="en-US"/>
        </w:rPr>
        <w:t>n=3. Data are shown as mean value ± SD. Cell number for fibroblasts in stiff S6 network on day 1 served as control 100%.</w:t>
      </w:r>
    </w:p>
    <w:p w14:paraId="3FC5BD7E" w14:textId="77777777" w:rsidR="00FB5126" w:rsidRDefault="00FB5126" w:rsidP="00FB5126">
      <w:pPr>
        <w:rPr>
          <w:lang w:val="en-US"/>
        </w:rPr>
      </w:pPr>
    </w:p>
    <w:p w14:paraId="20036A02" w14:textId="32D0BE70" w:rsidR="00FB5126" w:rsidRDefault="00FB5126" w:rsidP="00FB5126">
      <w:pPr>
        <w:rPr>
          <w:bCs/>
          <w:lang w:val="en-US"/>
        </w:rPr>
      </w:pPr>
      <w:r>
        <w:rPr>
          <w:noProof/>
          <w:lang w:val="en-US"/>
        </w:rPr>
        <w:lastRenderedPageBreak/>
        <w:drawing>
          <wp:inline distT="0" distB="0" distL="0" distR="0" wp14:anchorId="51636B1D" wp14:editId="0AC7ECB6">
            <wp:extent cx="5731510" cy="4925060"/>
            <wp:effectExtent l="0" t="0" r="254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4925060"/>
                    </a:xfrm>
                    <a:prstGeom prst="rect">
                      <a:avLst/>
                    </a:prstGeom>
                    <a:noFill/>
                    <a:ln>
                      <a:noFill/>
                    </a:ln>
                  </pic:spPr>
                </pic:pic>
              </a:graphicData>
            </a:graphic>
          </wp:inline>
        </w:drawing>
      </w:r>
    </w:p>
    <w:p w14:paraId="3E06A365" w14:textId="77777777" w:rsidR="00FB5126" w:rsidRDefault="00FB5126" w:rsidP="00FB5126">
      <w:pPr>
        <w:spacing w:before="240"/>
        <w:rPr>
          <w:bCs/>
          <w:lang w:val="en-US"/>
        </w:rPr>
      </w:pPr>
      <w:r>
        <w:rPr>
          <w:b/>
          <w:lang w:val="en-US"/>
        </w:rPr>
        <w:t xml:space="preserve">Figure S11. </w:t>
      </w:r>
      <w:r>
        <w:rPr>
          <w:bCs/>
          <w:lang w:val="en-US"/>
        </w:rPr>
        <w:t>Morphological analysis of fibroblasts in different fibrin networks. a–h)</w:t>
      </w:r>
      <w:r>
        <w:rPr>
          <w:lang w:val="en-US"/>
        </w:rPr>
        <w:t xml:space="preserve"> Cell length, cell width, and elongation ratio of individual fibroblasts grown in different fibrin networks were measured and plotted at early timepoints including 1 hour (a–c) and 4 hours (d–f) after encapsulation. Data were shown as violin plots. n=3, two-tailed Wilcoxon signed-rank test. *p &lt; 0.05, **p &lt; 0.01, ***p &lt; 0.001. ns, not significant.</w:t>
      </w:r>
    </w:p>
    <w:p w14:paraId="1FB73D46" w14:textId="77777777" w:rsidR="00FB5126" w:rsidRDefault="00FB5126" w:rsidP="00FB5126">
      <w:pPr>
        <w:rPr>
          <w:b/>
          <w:lang w:val="en-US"/>
        </w:rPr>
      </w:pPr>
    </w:p>
    <w:p w14:paraId="53B66944" w14:textId="0C783C03" w:rsidR="00FB5126" w:rsidRDefault="00FB5126" w:rsidP="00FB5126">
      <w:pPr>
        <w:rPr>
          <w:lang w:val="en-US"/>
        </w:rPr>
      </w:pPr>
      <w:r>
        <w:rPr>
          <w:noProof/>
          <w:lang w:val="en-US"/>
        </w:rPr>
        <w:lastRenderedPageBreak/>
        <w:drawing>
          <wp:inline distT="0" distB="0" distL="0" distR="0" wp14:anchorId="6E1129A6" wp14:editId="41704E4A">
            <wp:extent cx="5731510" cy="3121660"/>
            <wp:effectExtent l="0" t="0" r="254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3121660"/>
                    </a:xfrm>
                    <a:prstGeom prst="rect">
                      <a:avLst/>
                    </a:prstGeom>
                    <a:noFill/>
                    <a:ln>
                      <a:noFill/>
                    </a:ln>
                  </pic:spPr>
                </pic:pic>
              </a:graphicData>
            </a:graphic>
          </wp:inline>
        </w:drawing>
      </w:r>
    </w:p>
    <w:p w14:paraId="17F13072" w14:textId="77777777" w:rsidR="00FB5126" w:rsidRDefault="00FB5126" w:rsidP="00FB5126">
      <w:pPr>
        <w:rPr>
          <w:lang w:val="en-US"/>
        </w:rPr>
      </w:pPr>
      <w:r>
        <w:rPr>
          <w:b/>
          <w:lang w:val="en-US"/>
        </w:rPr>
        <w:t>Figure S12</w:t>
      </w:r>
      <w:r>
        <w:rPr>
          <w:bCs/>
          <w:lang w:val="en-US"/>
        </w:rPr>
        <w:t>. Transient fibroblast differentiation was detected by α-SMA and gene expressions. a, b)</w:t>
      </w:r>
      <w:r>
        <w:rPr>
          <w:b/>
          <w:lang w:val="en-US"/>
        </w:rPr>
        <w:t xml:space="preserve"> </w:t>
      </w:r>
      <w:r>
        <w:rPr>
          <w:lang w:val="en-US"/>
        </w:rPr>
        <w:t>Confocal microscopy images of fibroblasts with α-SMA immunostaining (red) 3 days (a) or 5 days (b) after encapsulation. Images are shown as a maximum image projection (</w:t>
      </w:r>
      <w:r>
        <w:rPr>
          <w:iCs/>
          <w:lang w:val="en-US"/>
        </w:rPr>
        <w:t>290 µm ×</w:t>
      </w:r>
      <w:r>
        <w:rPr>
          <w:lang w:val="en-US"/>
        </w:rPr>
        <w:t xml:space="preserve"> </w:t>
      </w:r>
      <w:r>
        <w:rPr>
          <w:iCs/>
          <w:lang w:val="en-US"/>
        </w:rPr>
        <w:t>290 µm area with 20 µm thickness</w:t>
      </w:r>
      <w:r>
        <w:rPr>
          <w:lang w:val="en-US"/>
        </w:rPr>
        <w:t xml:space="preserve">). </w:t>
      </w:r>
      <w:r>
        <w:rPr>
          <w:iCs/>
          <w:lang w:val="en-US"/>
        </w:rPr>
        <w:t xml:space="preserve">Scale bar, 100 µm. </w:t>
      </w:r>
      <w:r>
        <w:rPr>
          <w:lang w:val="en-US"/>
        </w:rPr>
        <w:t>c</w:t>
      </w:r>
      <w:r>
        <w:rPr>
          <w:bCs/>
          <w:lang w:val="en-US"/>
        </w:rPr>
        <w:t>)</w:t>
      </w:r>
      <w:r>
        <w:rPr>
          <w:lang w:val="en-US"/>
        </w:rPr>
        <w:t xml:space="preserve"> Quantification of the α-SMA expression in different networks. Statistical analysis was performed by one-way ANOVA. n=5. ns, not significant. *p &lt; 0.05. d,</w:t>
      </w:r>
      <w:r>
        <w:rPr>
          <w:b/>
          <w:bCs/>
          <w:lang w:val="en-US"/>
        </w:rPr>
        <w:t xml:space="preserve"> </w:t>
      </w:r>
      <w:r>
        <w:rPr>
          <w:lang w:val="en-US"/>
        </w:rPr>
        <w:t>e</w:t>
      </w:r>
      <w:r>
        <w:rPr>
          <w:bCs/>
          <w:lang w:val="en-US"/>
        </w:rPr>
        <w:t>)</w:t>
      </w:r>
      <w:r>
        <w:rPr>
          <w:lang w:val="en-US"/>
        </w:rPr>
        <w:t xml:space="preserve"> Myofibroblast-specific gene expression (TAGLN and LRRC17) analysis of fibroblast after 3 days of encapsulation. n=4.</w:t>
      </w:r>
    </w:p>
    <w:p w14:paraId="1ADC379E" w14:textId="77777777" w:rsidR="00FB5126" w:rsidRDefault="00FB5126" w:rsidP="00FB5126">
      <w:pPr>
        <w:rPr>
          <w:lang w:val="en-US"/>
        </w:rPr>
      </w:pPr>
    </w:p>
    <w:p w14:paraId="0D4E76B4" w14:textId="77777777" w:rsidR="00FB5126" w:rsidRDefault="00FB5126" w:rsidP="00FB5126">
      <w:pPr>
        <w:rPr>
          <w:bCs/>
          <w:lang w:val="en-US"/>
        </w:rPr>
      </w:pPr>
    </w:p>
    <w:p w14:paraId="162C83C0" w14:textId="71EB07A0" w:rsidR="00FB5126" w:rsidRDefault="00FB5126" w:rsidP="00FB5126">
      <w:pPr>
        <w:jc w:val="center"/>
        <w:rPr>
          <w:b/>
          <w:lang w:val="en-US"/>
        </w:rPr>
      </w:pPr>
      <w:r>
        <w:rPr>
          <w:b/>
          <w:noProof/>
          <w:lang w:val="en-US"/>
        </w:rPr>
        <w:drawing>
          <wp:inline distT="0" distB="0" distL="0" distR="0" wp14:anchorId="2377B7A6" wp14:editId="0F23F7ED">
            <wp:extent cx="2952750" cy="30670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52750" cy="3067050"/>
                    </a:xfrm>
                    <a:prstGeom prst="rect">
                      <a:avLst/>
                    </a:prstGeom>
                    <a:noFill/>
                    <a:ln>
                      <a:noFill/>
                    </a:ln>
                  </pic:spPr>
                </pic:pic>
              </a:graphicData>
            </a:graphic>
          </wp:inline>
        </w:drawing>
      </w:r>
    </w:p>
    <w:p w14:paraId="44C7249B" w14:textId="77777777" w:rsidR="00FB5126" w:rsidRDefault="00FB5126" w:rsidP="00FB5126">
      <w:pPr>
        <w:rPr>
          <w:lang w:val="en-US"/>
        </w:rPr>
      </w:pPr>
      <w:r>
        <w:rPr>
          <w:b/>
          <w:lang w:val="en-US"/>
        </w:rPr>
        <w:t xml:space="preserve">Figure S13. </w:t>
      </w:r>
      <w:r>
        <w:rPr>
          <w:bCs/>
          <w:lang w:val="en-US"/>
        </w:rPr>
        <w:t>2D control of fibroblast differentiation. a) Confocal</w:t>
      </w:r>
      <w:r>
        <w:rPr>
          <w:lang w:val="en-US"/>
        </w:rPr>
        <w:t xml:space="preserve"> microscopy images of the fibroblasts cultured on 2D plates 7 days after treatment of TGF-β1. Both α-SMA (red) and F-actin (yellow) were stained. Images are shown as a maximum image projection (</w:t>
      </w:r>
      <w:r>
        <w:rPr>
          <w:iCs/>
          <w:lang w:val="en-US"/>
        </w:rPr>
        <w:t>290 µm ×</w:t>
      </w:r>
      <w:r>
        <w:rPr>
          <w:lang w:val="en-US"/>
        </w:rPr>
        <w:t xml:space="preserve"> </w:t>
      </w:r>
      <w:r>
        <w:rPr>
          <w:iCs/>
          <w:lang w:val="en-US"/>
        </w:rPr>
        <w:t>290 µm area with 20 µm thickness</w:t>
      </w:r>
      <w:r>
        <w:rPr>
          <w:lang w:val="en-US"/>
        </w:rPr>
        <w:t xml:space="preserve">). </w:t>
      </w:r>
      <w:r>
        <w:rPr>
          <w:iCs/>
          <w:lang w:val="en-US"/>
        </w:rPr>
        <w:t xml:space="preserve">Scale bar, 100 µm. </w:t>
      </w:r>
      <w:r>
        <w:rPr>
          <w:bCs/>
          <w:iCs/>
          <w:lang w:val="en-US"/>
        </w:rPr>
        <w:t>b, c</w:t>
      </w:r>
      <w:r>
        <w:rPr>
          <w:bCs/>
          <w:lang w:val="en-US"/>
        </w:rPr>
        <w:t>)</w:t>
      </w:r>
      <w:r>
        <w:rPr>
          <w:iCs/>
          <w:lang w:val="en-US"/>
        </w:rPr>
        <w:t xml:space="preserve"> Fluorescence intensity analysis of the </w:t>
      </w:r>
      <w:r>
        <w:rPr>
          <w:lang w:val="en-US"/>
        </w:rPr>
        <w:t>α-SMA immunostaining (</w:t>
      </w:r>
      <w:r>
        <w:rPr>
          <w:bCs/>
          <w:lang w:val="en-US"/>
        </w:rPr>
        <w:t>b</w:t>
      </w:r>
      <w:r>
        <w:rPr>
          <w:lang w:val="en-US"/>
        </w:rPr>
        <w:t>) and the F-actin staining (</w:t>
      </w:r>
      <w:r>
        <w:rPr>
          <w:bCs/>
          <w:lang w:val="en-US"/>
        </w:rPr>
        <w:t>c</w:t>
      </w:r>
      <w:r>
        <w:rPr>
          <w:lang w:val="en-US"/>
        </w:rPr>
        <w:t xml:space="preserve">) shown in </w:t>
      </w:r>
      <w:r>
        <w:rPr>
          <w:bCs/>
          <w:lang w:val="en-US"/>
        </w:rPr>
        <w:t>a</w:t>
      </w:r>
      <w:r>
        <w:rPr>
          <w:lang w:val="en-US"/>
        </w:rPr>
        <w:t xml:space="preserve">. No significant </w:t>
      </w:r>
      <w:r>
        <w:rPr>
          <w:lang w:val="en-US"/>
        </w:rPr>
        <w:lastRenderedPageBreak/>
        <w:t>difference in α-SMA or F-actin was detected by t-test between the TGF-β1-treated and untreated samples.</w:t>
      </w:r>
      <w:r>
        <w:rPr>
          <w:iCs/>
          <w:lang w:val="en-US"/>
        </w:rPr>
        <w:t xml:space="preserve"> </w:t>
      </w:r>
      <w:r>
        <w:rPr>
          <w:lang w:val="en-US"/>
        </w:rPr>
        <w:t xml:space="preserve">ns, not significant. </w:t>
      </w:r>
    </w:p>
    <w:p w14:paraId="26D42F91" w14:textId="77777777" w:rsidR="00FB5126" w:rsidRDefault="00FB5126" w:rsidP="00FB5126">
      <w:pPr>
        <w:rPr>
          <w:iCs/>
          <w:lang w:val="en-US"/>
        </w:rPr>
      </w:pPr>
    </w:p>
    <w:p w14:paraId="35319EAD" w14:textId="7DB780DF" w:rsidR="00FB5126" w:rsidRDefault="00FB5126" w:rsidP="00FB5126">
      <w:pPr>
        <w:rPr>
          <w:b/>
          <w:lang w:val="en-US"/>
        </w:rPr>
      </w:pPr>
      <w:r>
        <w:rPr>
          <w:b/>
          <w:noProof/>
          <w:lang w:val="en-US"/>
        </w:rPr>
        <w:drawing>
          <wp:inline distT="0" distB="0" distL="0" distR="0" wp14:anchorId="42CD15F9" wp14:editId="307B1A95">
            <wp:extent cx="5731510" cy="4737100"/>
            <wp:effectExtent l="0" t="0" r="254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1510" cy="4737100"/>
                    </a:xfrm>
                    <a:prstGeom prst="rect">
                      <a:avLst/>
                    </a:prstGeom>
                    <a:noFill/>
                    <a:ln>
                      <a:noFill/>
                    </a:ln>
                  </pic:spPr>
                </pic:pic>
              </a:graphicData>
            </a:graphic>
          </wp:inline>
        </w:drawing>
      </w:r>
    </w:p>
    <w:p w14:paraId="4BA113E3" w14:textId="77777777" w:rsidR="00FB5126" w:rsidRDefault="00FB5126" w:rsidP="00FB5126">
      <w:pPr>
        <w:rPr>
          <w:lang w:val="en-US"/>
        </w:rPr>
      </w:pPr>
      <w:r>
        <w:rPr>
          <w:b/>
          <w:lang w:val="en-US"/>
        </w:rPr>
        <w:t xml:space="preserve">Figure S14. </w:t>
      </w:r>
      <w:r>
        <w:rPr>
          <w:bCs/>
          <w:lang w:val="en-US"/>
        </w:rPr>
        <w:t>Fibroblast F-actin expression and YAP nuclear translocation 3 days and 5 days after encapsulation.</w:t>
      </w:r>
      <w:r>
        <w:rPr>
          <w:b/>
          <w:lang w:val="en-US"/>
        </w:rPr>
        <w:t xml:space="preserve"> </w:t>
      </w:r>
      <w:r>
        <w:rPr>
          <w:bCs/>
          <w:lang w:val="en-US"/>
        </w:rPr>
        <w:t>a–c)</w:t>
      </w:r>
      <w:r>
        <w:rPr>
          <w:b/>
          <w:lang w:val="en-US"/>
        </w:rPr>
        <w:t xml:space="preserve"> </w:t>
      </w:r>
      <w:r>
        <w:rPr>
          <w:lang w:val="en-US"/>
        </w:rPr>
        <w:t>Confocal microscopic images of the fibroblasts with F-actin staining (yellow) 3 days (</w:t>
      </w:r>
      <w:r>
        <w:rPr>
          <w:bCs/>
          <w:lang w:val="en-US"/>
        </w:rPr>
        <w:t>a</w:t>
      </w:r>
      <w:r>
        <w:rPr>
          <w:lang w:val="en-US"/>
        </w:rPr>
        <w:t>) or 5 days (</w:t>
      </w:r>
      <w:r>
        <w:rPr>
          <w:bCs/>
          <w:lang w:val="en-US"/>
        </w:rPr>
        <w:t>b</w:t>
      </w:r>
      <w:r>
        <w:rPr>
          <w:lang w:val="en-US"/>
        </w:rPr>
        <w:t xml:space="preserve">) after encapsulation. Statistical analysis was performed by one-way ANOVA (c). ns, not significant. *p &lt; 0.05. </w:t>
      </w:r>
      <w:r>
        <w:rPr>
          <w:bCs/>
          <w:lang w:val="en-US"/>
        </w:rPr>
        <w:t>d–g)</w:t>
      </w:r>
      <w:r>
        <w:rPr>
          <w:lang w:val="en-US"/>
        </w:rPr>
        <w:t xml:space="preserve"> Confocal microscopic images of the fibroblasts with YAP immunostaining (red) 3 days (</w:t>
      </w:r>
      <w:r>
        <w:rPr>
          <w:bCs/>
          <w:lang w:val="en-US"/>
        </w:rPr>
        <w:t>d</w:t>
      </w:r>
      <w:r>
        <w:rPr>
          <w:lang w:val="en-US"/>
        </w:rPr>
        <w:t>) or 5 days (</w:t>
      </w:r>
      <w:r>
        <w:rPr>
          <w:bCs/>
          <w:lang w:val="en-US"/>
        </w:rPr>
        <w:t>e</w:t>
      </w:r>
      <w:r>
        <w:rPr>
          <w:lang w:val="en-US"/>
        </w:rPr>
        <w:t>) after encapsulation. Quantification of YAP nuclear translocation rate (f) or Nuclear YAP intensity (g) was analyzed by one-way ANOVA. **p &lt; 0.01. All the images are shown as a maximum image projection (</w:t>
      </w:r>
      <w:r>
        <w:rPr>
          <w:iCs/>
          <w:lang w:val="en-US"/>
        </w:rPr>
        <w:t>290 µm ×</w:t>
      </w:r>
      <w:r>
        <w:rPr>
          <w:lang w:val="en-US"/>
        </w:rPr>
        <w:t xml:space="preserve"> </w:t>
      </w:r>
      <w:r>
        <w:rPr>
          <w:iCs/>
          <w:lang w:val="en-US"/>
        </w:rPr>
        <w:t>290 µm area with 40 µm thickness</w:t>
      </w:r>
      <w:r>
        <w:rPr>
          <w:lang w:val="en-US"/>
        </w:rPr>
        <w:t xml:space="preserve">). </w:t>
      </w:r>
      <w:r>
        <w:rPr>
          <w:iCs/>
          <w:lang w:val="en-US"/>
        </w:rPr>
        <w:t>Scale bar, 100 µm.</w:t>
      </w:r>
      <w:r>
        <w:rPr>
          <w:lang w:val="en-US"/>
        </w:rPr>
        <w:t xml:space="preserve"> </w:t>
      </w:r>
    </w:p>
    <w:p w14:paraId="7D84B86A" w14:textId="28210AC9" w:rsidR="00FB5126" w:rsidRDefault="00FB5126" w:rsidP="00FB5126">
      <w:pPr>
        <w:rPr>
          <w:lang w:val="en-US"/>
        </w:rPr>
      </w:pPr>
      <w:r>
        <w:rPr>
          <w:noProof/>
          <w:lang w:val="en-US"/>
        </w:rPr>
        <w:lastRenderedPageBreak/>
        <w:drawing>
          <wp:inline distT="0" distB="0" distL="0" distR="0" wp14:anchorId="50D0D3E9" wp14:editId="1A4A1C01">
            <wp:extent cx="5731510" cy="3900170"/>
            <wp:effectExtent l="0" t="0" r="254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1510" cy="3900170"/>
                    </a:xfrm>
                    <a:prstGeom prst="rect">
                      <a:avLst/>
                    </a:prstGeom>
                    <a:noFill/>
                    <a:ln>
                      <a:noFill/>
                    </a:ln>
                  </pic:spPr>
                </pic:pic>
              </a:graphicData>
            </a:graphic>
          </wp:inline>
        </w:drawing>
      </w:r>
    </w:p>
    <w:p w14:paraId="67A3A940" w14:textId="77777777" w:rsidR="00FB5126" w:rsidRDefault="00FB5126" w:rsidP="00FB5126">
      <w:pPr>
        <w:rPr>
          <w:lang w:val="en-US"/>
        </w:rPr>
      </w:pPr>
      <w:r>
        <w:rPr>
          <w:b/>
          <w:lang w:val="en-US"/>
        </w:rPr>
        <w:t xml:space="preserve">Figure S15. </w:t>
      </w:r>
      <w:r>
        <w:rPr>
          <w:bCs/>
          <w:lang w:val="en-US"/>
        </w:rPr>
        <w:t>Summary of fibrinogen purification and quantification methods. a)</w:t>
      </w:r>
      <w:r>
        <w:rPr>
          <w:b/>
          <w:lang w:val="en-US"/>
        </w:rPr>
        <w:t xml:space="preserve"> </w:t>
      </w:r>
      <w:r>
        <w:rPr>
          <w:lang w:val="en-US"/>
        </w:rPr>
        <w:t xml:space="preserve">An overview of the fibrinogen, fibronectin, and FXIII purification protocol from the pooled human plasma. </w:t>
      </w:r>
      <w:r>
        <w:rPr>
          <w:bCs/>
          <w:lang w:val="en-US"/>
        </w:rPr>
        <w:t>b)</w:t>
      </w:r>
      <w:r>
        <w:rPr>
          <w:lang w:val="en-US"/>
        </w:rPr>
        <w:t xml:space="preserve"> Schematic of the DEAE-Sepharose chromatography to collect fibrinogen and the removal of fibronectin. Under pH 7.4, fibrinogen (shown in dark green), with an isoelectric point (</w:t>
      </w:r>
      <w:proofErr w:type="spellStart"/>
      <w:r>
        <w:rPr>
          <w:lang w:val="en-US"/>
        </w:rPr>
        <w:t>pI</w:t>
      </w:r>
      <w:proofErr w:type="spellEnd"/>
      <w:r>
        <w:rPr>
          <w:lang w:val="en-US"/>
        </w:rPr>
        <w:t xml:space="preserve">) higher than 7.4, has a positive charge and does not bind to the DEAE-Sepharose resin; it can be collected in the flow-through. The </w:t>
      </w:r>
      <w:proofErr w:type="spellStart"/>
      <w:r>
        <w:rPr>
          <w:lang w:val="en-US"/>
        </w:rPr>
        <w:t>pI</w:t>
      </w:r>
      <w:proofErr w:type="spellEnd"/>
      <w:r>
        <w:rPr>
          <w:lang w:val="en-US"/>
        </w:rPr>
        <w:t xml:space="preserve"> of fibronectin (shown in light green) is around 5.4. Fibronectin has a negative charge and binds to the resin at pH 7.4. By increasing the concentration of NaCl, the counter ions Cl</w:t>
      </w:r>
      <w:r>
        <w:rPr>
          <w:vertAlign w:val="superscript"/>
          <w:lang w:val="en-US"/>
        </w:rPr>
        <w:t>-</w:t>
      </w:r>
      <w:r>
        <w:rPr>
          <w:lang w:val="en-US"/>
        </w:rPr>
        <w:t xml:space="preserve"> deplete the charge on the fibronectin and result in the release of fibronectin (or fibrinogen-fibronectin complex). Therefore, fibronectin is collected in the elution buffer. </w:t>
      </w:r>
      <w:r>
        <w:rPr>
          <w:bCs/>
          <w:lang w:val="en-US"/>
        </w:rPr>
        <w:t>c–e)</w:t>
      </w:r>
      <w:r>
        <w:rPr>
          <w:lang w:val="en-US"/>
        </w:rPr>
        <w:t xml:space="preserve"> Fibrinogen fractions quantification evaluated by reducing SDS-PAGE. Fibrinogen fractions during precipitation (</w:t>
      </w:r>
      <w:r>
        <w:rPr>
          <w:bCs/>
          <w:lang w:val="en-US"/>
        </w:rPr>
        <w:t>c</w:t>
      </w:r>
      <w:r>
        <w:rPr>
          <w:lang w:val="en-US"/>
        </w:rPr>
        <w:t>), elution (</w:t>
      </w:r>
      <w:r>
        <w:rPr>
          <w:bCs/>
          <w:lang w:val="en-US"/>
        </w:rPr>
        <w:t>d</w:t>
      </w:r>
      <w:r>
        <w:rPr>
          <w:lang w:val="en-US"/>
        </w:rPr>
        <w:t>), and after concentrating the fractions are shown in the dark green rectangle for purified fibrinogen (</w:t>
      </w:r>
      <w:proofErr w:type="spellStart"/>
      <w:r>
        <w:rPr>
          <w:lang w:val="en-US"/>
        </w:rPr>
        <w:t>pFg</w:t>
      </w:r>
      <w:proofErr w:type="spellEnd"/>
      <w:r>
        <w:rPr>
          <w:lang w:val="en-US"/>
        </w:rPr>
        <w:t>) or in the light green rectangle for purified fibronectin (</w:t>
      </w:r>
      <w:proofErr w:type="spellStart"/>
      <w:r>
        <w:rPr>
          <w:lang w:val="en-US"/>
        </w:rPr>
        <w:t>pFn</w:t>
      </w:r>
      <w:proofErr w:type="spellEnd"/>
      <w:r>
        <w:rPr>
          <w:lang w:val="en-US"/>
        </w:rPr>
        <w:t>) (</w:t>
      </w:r>
      <w:r>
        <w:rPr>
          <w:bCs/>
          <w:lang w:val="en-US"/>
        </w:rPr>
        <w:t>e</w:t>
      </w:r>
      <w:r>
        <w:rPr>
          <w:lang w:val="en-US"/>
        </w:rPr>
        <w:t xml:space="preserve">). Pt, fibrinogen pellet. </w:t>
      </w:r>
      <w:r>
        <w:rPr>
          <w:bCs/>
          <w:lang w:val="en-US"/>
        </w:rPr>
        <w:t>f)</w:t>
      </w:r>
      <w:r>
        <w:rPr>
          <w:lang w:val="en-US"/>
        </w:rPr>
        <w:t xml:space="preserve"> Reducing SDS-PAGE images of the purified FXIII. g</w:t>
      </w:r>
      <w:r>
        <w:rPr>
          <w:bCs/>
          <w:lang w:val="en-US"/>
        </w:rPr>
        <w:t>)</w:t>
      </w:r>
      <w:r>
        <w:rPr>
          <w:lang w:val="en-US"/>
        </w:rPr>
        <w:t xml:space="preserve"> Protocols to achieve reproducibility and tunability of biophysical properties of fibrin networks formed from different batches of fibrinogen samples. Reproducibility is achieved after characterizing endogenous FXIII activity of each fibrinogen sample. Tunability of biophysical properties of fibrin including architecture, stiffness, degradation, and ligand density is achieved by tuning ecarin/prothrombin, </w:t>
      </w:r>
      <w:proofErr w:type="spellStart"/>
      <w:r>
        <w:rPr>
          <w:lang w:val="en-US"/>
        </w:rPr>
        <w:t>pFXIII</w:t>
      </w:r>
      <w:proofErr w:type="spellEnd"/>
      <w:r>
        <w:rPr>
          <w:lang w:val="en-US"/>
        </w:rPr>
        <w:t>/D004, textilinin, and incorporated fibronectin, individually.</w:t>
      </w:r>
    </w:p>
    <w:p w14:paraId="0CA0E813" w14:textId="77777777" w:rsidR="00FB5126" w:rsidRDefault="00FB5126" w:rsidP="00FB5126">
      <w:pPr>
        <w:rPr>
          <w:lang w:val="en-US"/>
        </w:rPr>
      </w:pPr>
    </w:p>
    <w:p w14:paraId="13F3E2FE" w14:textId="77777777" w:rsidR="00FB5126" w:rsidRDefault="00FB5126" w:rsidP="00FB5126">
      <w:pPr>
        <w:rPr>
          <w:lang w:val="en-US"/>
        </w:rPr>
      </w:pPr>
    </w:p>
    <w:p w14:paraId="0E57E5B2" w14:textId="77777777" w:rsidR="00FB5126" w:rsidRDefault="00FB5126" w:rsidP="00FB5126">
      <w:pPr>
        <w:rPr>
          <w:lang w:val="en-US"/>
        </w:rPr>
      </w:pPr>
    </w:p>
    <w:p w14:paraId="5D1392B6" w14:textId="77777777" w:rsidR="00FB5126" w:rsidRDefault="00FB5126" w:rsidP="00FB5126">
      <w:pPr>
        <w:rPr>
          <w:lang w:val="en-US"/>
        </w:rPr>
      </w:pPr>
    </w:p>
    <w:p w14:paraId="52F04109" w14:textId="77777777" w:rsidR="00FB5126" w:rsidRDefault="00FB5126" w:rsidP="00FB5126">
      <w:pPr>
        <w:rPr>
          <w:lang w:val="en-US"/>
        </w:rPr>
      </w:pPr>
    </w:p>
    <w:p w14:paraId="65FBC5D7" w14:textId="77777777" w:rsidR="00FB5126" w:rsidRDefault="00FB5126" w:rsidP="00FB5126">
      <w:pPr>
        <w:rPr>
          <w:lang w:val="en-US"/>
        </w:rPr>
      </w:pPr>
    </w:p>
    <w:p w14:paraId="06E1C591" w14:textId="77777777" w:rsidR="00FB5126" w:rsidRDefault="00FB5126" w:rsidP="00FB5126">
      <w:pPr>
        <w:rPr>
          <w:lang w:val="en-US"/>
        </w:rPr>
      </w:pPr>
    </w:p>
    <w:p w14:paraId="1E64F3D7" w14:textId="77777777" w:rsidR="00FB5126" w:rsidRDefault="00FB5126" w:rsidP="00FB5126">
      <w:pPr>
        <w:rPr>
          <w:lang w:val="en-US"/>
        </w:rPr>
      </w:pPr>
    </w:p>
    <w:p w14:paraId="21EB405F" w14:textId="77777777" w:rsidR="00FB5126" w:rsidRDefault="00FB5126" w:rsidP="00FB5126">
      <w:pPr>
        <w:rPr>
          <w:lang w:val="en-US"/>
        </w:rPr>
      </w:pPr>
    </w:p>
    <w:p w14:paraId="59113801" w14:textId="77777777" w:rsidR="00FB5126" w:rsidRDefault="00FB5126" w:rsidP="00FB5126">
      <w:pPr>
        <w:rPr>
          <w:lang w:val="en-US"/>
        </w:rPr>
      </w:pPr>
      <w:r>
        <w:rPr>
          <w:b/>
          <w:bCs/>
          <w:lang w:val="en-US"/>
        </w:rPr>
        <w:lastRenderedPageBreak/>
        <w:t>Table S1</w:t>
      </w:r>
      <w:r>
        <w:rPr>
          <w:lang w:val="en-US"/>
        </w:rPr>
        <w:t>. Batch information is listed with FXIII activity and FXIII concentration.</w:t>
      </w:r>
    </w:p>
    <w:p w14:paraId="049E60C0" w14:textId="77777777" w:rsidR="00FB5126" w:rsidRDefault="00FB5126" w:rsidP="00FB5126">
      <w:pPr>
        <w:rPr>
          <w:lang w:val="en-US"/>
        </w:rPr>
      </w:pPr>
    </w:p>
    <w:tbl>
      <w:tblPr>
        <w:tblStyle w:val="LightList-Accent3"/>
        <w:tblW w:w="4864" w:type="dxa"/>
        <w:jc w:val="center"/>
        <w:tblInd w:w="0" w:type="dxa"/>
        <w:tblLayout w:type="fixed"/>
        <w:tblLook w:val="0620" w:firstRow="1" w:lastRow="0" w:firstColumn="0" w:lastColumn="0" w:noHBand="1" w:noVBand="1"/>
      </w:tblPr>
      <w:tblGrid>
        <w:gridCol w:w="1161"/>
        <w:gridCol w:w="1669"/>
        <w:gridCol w:w="2034"/>
      </w:tblGrid>
      <w:tr w:rsidR="009667D5" w14:paraId="0F372538" w14:textId="77777777" w:rsidTr="009667D5">
        <w:trPr>
          <w:cnfStyle w:val="100000000000" w:firstRow="1" w:lastRow="0" w:firstColumn="0" w:lastColumn="0" w:oddVBand="0" w:evenVBand="0" w:oddHBand="0" w:evenHBand="0" w:firstRowFirstColumn="0" w:firstRowLastColumn="0" w:lastRowFirstColumn="0" w:lastRowLastColumn="0"/>
          <w:trHeight w:val="1133"/>
          <w:jc w:val="center"/>
        </w:trPr>
        <w:tc>
          <w:tcPr>
            <w:tcW w:w="1161" w:type="dxa"/>
            <w:vMerge w:val="restart"/>
            <w:tcBorders>
              <w:top w:val="single" w:sz="4" w:space="0" w:color="auto"/>
              <w:left w:val="single" w:sz="4" w:space="0" w:color="auto"/>
              <w:bottom w:val="single" w:sz="4" w:space="0" w:color="auto"/>
              <w:right w:val="single" w:sz="4" w:space="0" w:color="auto"/>
            </w:tcBorders>
            <w:hideMark/>
          </w:tcPr>
          <w:p w14:paraId="4AF245D2" w14:textId="77777777" w:rsidR="009667D5" w:rsidRDefault="009667D5">
            <w:pPr>
              <w:rPr>
                <w:lang w:val="en-US"/>
              </w:rPr>
            </w:pPr>
            <w:r>
              <w:rPr>
                <w:lang w:val="en-US"/>
              </w:rPr>
              <w:t>Batch No.</w:t>
            </w:r>
          </w:p>
        </w:tc>
        <w:tc>
          <w:tcPr>
            <w:tcW w:w="1669" w:type="dxa"/>
            <w:vMerge w:val="restart"/>
            <w:tcBorders>
              <w:top w:val="single" w:sz="4" w:space="0" w:color="auto"/>
              <w:left w:val="single" w:sz="4" w:space="0" w:color="auto"/>
              <w:bottom w:val="single" w:sz="4" w:space="0" w:color="auto"/>
              <w:right w:val="single" w:sz="4" w:space="0" w:color="auto"/>
            </w:tcBorders>
            <w:hideMark/>
          </w:tcPr>
          <w:p w14:paraId="4B6D593D" w14:textId="77777777" w:rsidR="009667D5" w:rsidRDefault="009667D5">
            <w:pPr>
              <w:jc w:val="center"/>
              <w:rPr>
                <w:lang w:val="en-US"/>
              </w:rPr>
            </w:pPr>
            <w:r>
              <w:rPr>
                <w:lang w:val="en-US"/>
              </w:rPr>
              <w:t xml:space="preserve">FXIII activity (IU </w:t>
            </w:r>
            <w:proofErr w:type="gramStart"/>
            <w:r>
              <w:rPr>
                <w:lang w:val="en-US"/>
              </w:rPr>
              <w:t>mL</w:t>
            </w:r>
            <w:r>
              <w:rPr>
                <w:bCs w:val="0"/>
                <w:vertAlign w:val="superscript"/>
                <w:lang w:val="en-US"/>
              </w:rPr>
              <w:t>-1</w:t>
            </w:r>
            <w:proofErr w:type="gramEnd"/>
            <w:r>
              <w:rPr>
                <w:lang w:val="en-US"/>
              </w:rPr>
              <w:t>)</w:t>
            </w:r>
          </w:p>
        </w:tc>
        <w:tc>
          <w:tcPr>
            <w:tcW w:w="2034" w:type="dxa"/>
            <w:vMerge w:val="restart"/>
            <w:tcBorders>
              <w:top w:val="single" w:sz="4" w:space="0" w:color="auto"/>
              <w:left w:val="single" w:sz="4" w:space="0" w:color="auto"/>
              <w:bottom w:val="single" w:sz="4" w:space="0" w:color="auto"/>
              <w:right w:val="single" w:sz="4" w:space="0" w:color="auto"/>
            </w:tcBorders>
            <w:hideMark/>
          </w:tcPr>
          <w:p w14:paraId="3D054BBB" w14:textId="77777777" w:rsidR="009667D5" w:rsidRDefault="009667D5">
            <w:pPr>
              <w:rPr>
                <w:lang w:val="en-US"/>
              </w:rPr>
            </w:pPr>
            <w:r>
              <w:rPr>
                <w:lang w:val="en-US"/>
              </w:rPr>
              <w:t>FXIII concentration (FXIII/Fibrinogen ratio w/w%)</w:t>
            </w:r>
          </w:p>
        </w:tc>
      </w:tr>
      <w:tr w:rsidR="009667D5" w14:paraId="70EB5456" w14:textId="77777777" w:rsidTr="009667D5">
        <w:trPr>
          <w:trHeight w:val="458"/>
          <w:jc w:val="center"/>
        </w:trPr>
        <w:tc>
          <w:tcPr>
            <w:tcW w:w="1161" w:type="dxa"/>
            <w:vMerge/>
            <w:tcBorders>
              <w:top w:val="single" w:sz="4" w:space="0" w:color="auto"/>
              <w:left w:val="single" w:sz="4" w:space="0" w:color="auto"/>
              <w:bottom w:val="single" w:sz="4" w:space="0" w:color="auto"/>
              <w:right w:val="single" w:sz="4" w:space="0" w:color="auto"/>
            </w:tcBorders>
            <w:vAlign w:val="center"/>
            <w:hideMark/>
          </w:tcPr>
          <w:p w14:paraId="519B987B" w14:textId="77777777" w:rsidR="009667D5" w:rsidRDefault="009667D5">
            <w:pPr>
              <w:rPr>
                <w:rFonts w:asciiTheme="minorHAnsi" w:eastAsiaTheme="minorEastAsia" w:hAnsiTheme="minorHAnsi" w:cstheme="minorBidi"/>
                <w:b/>
                <w:bCs/>
                <w:color w:val="FFFFFF" w:themeColor="background1"/>
                <w:lang w:val="en-US"/>
              </w:rPr>
            </w:pPr>
          </w:p>
        </w:tc>
        <w:tc>
          <w:tcPr>
            <w:tcW w:w="1669" w:type="dxa"/>
            <w:vMerge/>
            <w:tcBorders>
              <w:top w:val="single" w:sz="4" w:space="0" w:color="auto"/>
              <w:left w:val="single" w:sz="4" w:space="0" w:color="auto"/>
              <w:bottom w:val="single" w:sz="4" w:space="0" w:color="auto"/>
              <w:right w:val="single" w:sz="4" w:space="0" w:color="auto"/>
            </w:tcBorders>
            <w:vAlign w:val="center"/>
            <w:hideMark/>
          </w:tcPr>
          <w:p w14:paraId="593576EE" w14:textId="77777777" w:rsidR="009667D5" w:rsidRDefault="009667D5">
            <w:pPr>
              <w:rPr>
                <w:rFonts w:asciiTheme="minorHAnsi" w:eastAsiaTheme="minorEastAsia" w:hAnsiTheme="minorHAnsi" w:cstheme="minorBidi"/>
                <w:b/>
                <w:bCs/>
                <w:color w:val="FFFFFF" w:themeColor="background1"/>
                <w:lang w:val="en-US"/>
              </w:rPr>
            </w:pPr>
          </w:p>
        </w:tc>
        <w:tc>
          <w:tcPr>
            <w:tcW w:w="2034" w:type="dxa"/>
            <w:vMerge/>
            <w:tcBorders>
              <w:top w:val="single" w:sz="4" w:space="0" w:color="auto"/>
              <w:left w:val="single" w:sz="4" w:space="0" w:color="auto"/>
              <w:bottom w:val="single" w:sz="4" w:space="0" w:color="auto"/>
              <w:right w:val="single" w:sz="4" w:space="0" w:color="auto"/>
            </w:tcBorders>
            <w:vAlign w:val="center"/>
            <w:hideMark/>
          </w:tcPr>
          <w:p w14:paraId="732076E7" w14:textId="77777777" w:rsidR="009667D5" w:rsidRDefault="009667D5">
            <w:pPr>
              <w:rPr>
                <w:rFonts w:asciiTheme="minorHAnsi" w:eastAsiaTheme="minorEastAsia" w:hAnsiTheme="minorHAnsi" w:cstheme="minorBidi"/>
                <w:b/>
                <w:bCs/>
                <w:color w:val="FFFFFF" w:themeColor="background1"/>
                <w:lang w:val="en-US"/>
              </w:rPr>
            </w:pPr>
          </w:p>
        </w:tc>
      </w:tr>
      <w:tr w:rsidR="009667D5" w14:paraId="2FAB057C" w14:textId="77777777" w:rsidTr="009667D5">
        <w:trPr>
          <w:trHeight w:val="267"/>
          <w:jc w:val="center"/>
        </w:trPr>
        <w:tc>
          <w:tcPr>
            <w:tcW w:w="1161" w:type="dxa"/>
            <w:tcBorders>
              <w:top w:val="single" w:sz="4" w:space="0" w:color="auto"/>
              <w:left w:val="single" w:sz="4" w:space="0" w:color="auto"/>
              <w:bottom w:val="single" w:sz="4" w:space="0" w:color="auto"/>
              <w:right w:val="single" w:sz="4" w:space="0" w:color="auto"/>
            </w:tcBorders>
            <w:hideMark/>
          </w:tcPr>
          <w:p w14:paraId="0F0F56BD" w14:textId="77777777" w:rsidR="009667D5" w:rsidRDefault="009667D5">
            <w:pPr>
              <w:rPr>
                <w:rFonts w:asciiTheme="minorHAnsi" w:eastAsiaTheme="minorEastAsia" w:hAnsiTheme="minorHAnsi" w:cstheme="minorBidi"/>
                <w:lang w:val="en-US"/>
              </w:rPr>
            </w:pPr>
            <w:r>
              <w:rPr>
                <w:lang w:val="en-US"/>
              </w:rPr>
              <w:t>B1a</w:t>
            </w:r>
          </w:p>
        </w:tc>
        <w:tc>
          <w:tcPr>
            <w:tcW w:w="1669" w:type="dxa"/>
            <w:tcBorders>
              <w:top w:val="single" w:sz="4" w:space="0" w:color="auto"/>
              <w:left w:val="single" w:sz="4" w:space="0" w:color="auto"/>
              <w:bottom w:val="single" w:sz="4" w:space="0" w:color="auto"/>
              <w:right w:val="single" w:sz="4" w:space="0" w:color="auto"/>
            </w:tcBorders>
            <w:hideMark/>
          </w:tcPr>
          <w:p w14:paraId="5A7F4EED" w14:textId="77777777" w:rsidR="009667D5" w:rsidRDefault="009667D5">
            <w:pPr>
              <w:rPr>
                <w:lang w:val="en-US"/>
              </w:rPr>
            </w:pPr>
            <w:r>
              <w:rPr>
                <w:lang w:val="en-US"/>
              </w:rPr>
              <w:t>0.23</w:t>
            </w:r>
          </w:p>
        </w:tc>
        <w:tc>
          <w:tcPr>
            <w:tcW w:w="2034" w:type="dxa"/>
            <w:tcBorders>
              <w:top w:val="single" w:sz="4" w:space="0" w:color="auto"/>
              <w:left w:val="single" w:sz="4" w:space="0" w:color="auto"/>
              <w:bottom w:val="single" w:sz="4" w:space="0" w:color="auto"/>
              <w:right w:val="single" w:sz="4" w:space="0" w:color="auto"/>
            </w:tcBorders>
            <w:hideMark/>
          </w:tcPr>
          <w:p w14:paraId="6103B1C3" w14:textId="77777777" w:rsidR="009667D5" w:rsidRDefault="009667D5">
            <w:pPr>
              <w:rPr>
                <w:lang w:val="en-US"/>
              </w:rPr>
            </w:pPr>
            <w:r>
              <w:rPr>
                <w:lang w:val="en-US"/>
              </w:rPr>
              <w:t>2.74</w:t>
            </w:r>
          </w:p>
        </w:tc>
      </w:tr>
      <w:tr w:rsidR="009667D5" w14:paraId="5AFE6952" w14:textId="77777777" w:rsidTr="009667D5">
        <w:trPr>
          <w:trHeight w:val="255"/>
          <w:jc w:val="center"/>
        </w:trPr>
        <w:tc>
          <w:tcPr>
            <w:tcW w:w="1161" w:type="dxa"/>
            <w:tcBorders>
              <w:top w:val="single" w:sz="4" w:space="0" w:color="auto"/>
              <w:left w:val="single" w:sz="4" w:space="0" w:color="auto"/>
              <w:bottom w:val="single" w:sz="4" w:space="0" w:color="auto"/>
              <w:right w:val="single" w:sz="4" w:space="0" w:color="auto"/>
            </w:tcBorders>
            <w:hideMark/>
          </w:tcPr>
          <w:p w14:paraId="4EFE2968" w14:textId="77777777" w:rsidR="009667D5" w:rsidRDefault="009667D5">
            <w:pPr>
              <w:rPr>
                <w:lang w:val="en-US"/>
              </w:rPr>
            </w:pPr>
            <w:r>
              <w:rPr>
                <w:lang w:val="en-US"/>
              </w:rPr>
              <w:t>B1b</w:t>
            </w:r>
          </w:p>
        </w:tc>
        <w:tc>
          <w:tcPr>
            <w:tcW w:w="1669" w:type="dxa"/>
            <w:tcBorders>
              <w:top w:val="single" w:sz="4" w:space="0" w:color="auto"/>
              <w:left w:val="single" w:sz="4" w:space="0" w:color="auto"/>
              <w:bottom w:val="single" w:sz="4" w:space="0" w:color="auto"/>
              <w:right w:val="single" w:sz="4" w:space="0" w:color="auto"/>
            </w:tcBorders>
            <w:hideMark/>
          </w:tcPr>
          <w:p w14:paraId="07875FF0" w14:textId="77777777" w:rsidR="009667D5" w:rsidRDefault="009667D5">
            <w:pPr>
              <w:rPr>
                <w:lang w:val="en-US"/>
              </w:rPr>
            </w:pPr>
            <w:r>
              <w:rPr>
                <w:lang w:val="en-US"/>
              </w:rPr>
              <w:t>0.26</w:t>
            </w:r>
          </w:p>
        </w:tc>
        <w:tc>
          <w:tcPr>
            <w:tcW w:w="2034" w:type="dxa"/>
            <w:tcBorders>
              <w:top w:val="single" w:sz="4" w:space="0" w:color="auto"/>
              <w:left w:val="single" w:sz="4" w:space="0" w:color="auto"/>
              <w:bottom w:val="single" w:sz="4" w:space="0" w:color="auto"/>
              <w:right w:val="single" w:sz="4" w:space="0" w:color="auto"/>
            </w:tcBorders>
            <w:hideMark/>
          </w:tcPr>
          <w:p w14:paraId="6F7835E7" w14:textId="77777777" w:rsidR="009667D5" w:rsidRDefault="009667D5">
            <w:pPr>
              <w:rPr>
                <w:lang w:val="en-US"/>
              </w:rPr>
            </w:pPr>
            <w:r>
              <w:rPr>
                <w:lang w:val="en-US"/>
              </w:rPr>
              <w:t>Not detected</w:t>
            </w:r>
          </w:p>
        </w:tc>
      </w:tr>
      <w:tr w:rsidR="009667D5" w14:paraId="47CD5B0B" w14:textId="77777777" w:rsidTr="009667D5">
        <w:trPr>
          <w:trHeight w:val="522"/>
          <w:jc w:val="center"/>
        </w:trPr>
        <w:tc>
          <w:tcPr>
            <w:tcW w:w="1161" w:type="dxa"/>
            <w:tcBorders>
              <w:top w:val="single" w:sz="4" w:space="0" w:color="auto"/>
              <w:left w:val="single" w:sz="4" w:space="0" w:color="auto"/>
              <w:bottom w:val="single" w:sz="4" w:space="0" w:color="auto"/>
              <w:right w:val="single" w:sz="4" w:space="0" w:color="auto"/>
            </w:tcBorders>
            <w:hideMark/>
          </w:tcPr>
          <w:p w14:paraId="6D1B664C" w14:textId="77777777" w:rsidR="009667D5" w:rsidRDefault="009667D5">
            <w:pPr>
              <w:rPr>
                <w:lang w:val="en-US"/>
              </w:rPr>
            </w:pPr>
            <w:r>
              <w:rPr>
                <w:lang w:val="en-US"/>
              </w:rPr>
              <w:t>B2</w:t>
            </w:r>
          </w:p>
        </w:tc>
        <w:tc>
          <w:tcPr>
            <w:tcW w:w="1669" w:type="dxa"/>
            <w:tcBorders>
              <w:top w:val="single" w:sz="4" w:space="0" w:color="auto"/>
              <w:left w:val="single" w:sz="4" w:space="0" w:color="auto"/>
              <w:bottom w:val="single" w:sz="4" w:space="0" w:color="auto"/>
              <w:right w:val="single" w:sz="4" w:space="0" w:color="auto"/>
            </w:tcBorders>
            <w:hideMark/>
          </w:tcPr>
          <w:p w14:paraId="4F3066F2" w14:textId="77777777" w:rsidR="009667D5" w:rsidRDefault="009667D5">
            <w:pPr>
              <w:rPr>
                <w:lang w:val="en-US"/>
              </w:rPr>
            </w:pPr>
            <w:r>
              <w:rPr>
                <w:lang w:val="en-US"/>
              </w:rPr>
              <w:t>Not detected</w:t>
            </w:r>
          </w:p>
        </w:tc>
        <w:tc>
          <w:tcPr>
            <w:tcW w:w="2034" w:type="dxa"/>
            <w:tcBorders>
              <w:top w:val="single" w:sz="4" w:space="0" w:color="auto"/>
              <w:left w:val="single" w:sz="4" w:space="0" w:color="auto"/>
              <w:bottom w:val="single" w:sz="4" w:space="0" w:color="auto"/>
              <w:right w:val="single" w:sz="4" w:space="0" w:color="auto"/>
            </w:tcBorders>
            <w:hideMark/>
          </w:tcPr>
          <w:p w14:paraId="0EEA3D24" w14:textId="77777777" w:rsidR="009667D5" w:rsidRDefault="009667D5">
            <w:pPr>
              <w:rPr>
                <w:lang w:val="en-US"/>
              </w:rPr>
            </w:pPr>
            <w:r>
              <w:rPr>
                <w:lang w:val="en-US"/>
              </w:rPr>
              <w:t>0.12</w:t>
            </w:r>
          </w:p>
        </w:tc>
      </w:tr>
      <w:tr w:rsidR="009667D5" w14:paraId="2660C937" w14:textId="77777777" w:rsidTr="009667D5">
        <w:trPr>
          <w:trHeight w:val="255"/>
          <w:jc w:val="center"/>
        </w:trPr>
        <w:tc>
          <w:tcPr>
            <w:tcW w:w="1161" w:type="dxa"/>
            <w:tcBorders>
              <w:top w:val="single" w:sz="4" w:space="0" w:color="auto"/>
              <w:left w:val="single" w:sz="4" w:space="0" w:color="auto"/>
              <w:bottom w:val="single" w:sz="4" w:space="0" w:color="auto"/>
              <w:right w:val="single" w:sz="4" w:space="0" w:color="auto"/>
            </w:tcBorders>
            <w:hideMark/>
          </w:tcPr>
          <w:p w14:paraId="2C2A8D6A" w14:textId="77777777" w:rsidR="009667D5" w:rsidRDefault="009667D5">
            <w:pPr>
              <w:rPr>
                <w:lang w:val="en-US"/>
              </w:rPr>
            </w:pPr>
            <w:r>
              <w:rPr>
                <w:lang w:val="en-US"/>
              </w:rPr>
              <w:t>B3</w:t>
            </w:r>
          </w:p>
        </w:tc>
        <w:tc>
          <w:tcPr>
            <w:tcW w:w="1669" w:type="dxa"/>
            <w:tcBorders>
              <w:top w:val="single" w:sz="4" w:space="0" w:color="auto"/>
              <w:left w:val="single" w:sz="4" w:space="0" w:color="auto"/>
              <w:bottom w:val="single" w:sz="4" w:space="0" w:color="auto"/>
              <w:right w:val="single" w:sz="4" w:space="0" w:color="auto"/>
            </w:tcBorders>
            <w:hideMark/>
          </w:tcPr>
          <w:p w14:paraId="777FDBDE" w14:textId="77777777" w:rsidR="009667D5" w:rsidRDefault="009667D5">
            <w:pPr>
              <w:rPr>
                <w:lang w:val="en-US"/>
              </w:rPr>
            </w:pPr>
            <w:r>
              <w:rPr>
                <w:lang w:val="en-US"/>
              </w:rPr>
              <w:t>0.33</w:t>
            </w:r>
          </w:p>
        </w:tc>
        <w:tc>
          <w:tcPr>
            <w:tcW w:w="2034" w:type="dxa"/>
            <w:tcBorders>
              <w:top w:val="single" w:sz="4" w:space="0" w:color="auto"/>
              <w:left w:val="single" w:sz="4" w:space="0" w:color="auto"/>
              <w:bottom w:val="single" w:sz="4" w:space="0" w:color="auto"/>
              <w:right w:val="single" w:sz="4" w:space="0" w:color="auto"/>
            </w:tcBorders>
            <w:hideMark/>
          </w:tcPr>
          <w:p w14:paraId="7F22D4F9" w14:textId="77777777" w:rsidR="009667D5" w:rsidRDefault="009667D5">
            <w:pPr>
              <w:rPr>
                <w:lang w:val="en-US"/>
              </w:rPr>
            </w:pPr>
            <w:r>
              <w:rPr>
                <w:lang w:val="en-US"/>
              </w:rPr>
              <w:t>2.23</w:t>
            </w:r>
          </w:p>
        </w:tc>
      </w:tr>
      <w:tr w:rsidR="009667D5" w14:paraId="094790B9" w14:textId="77777777" w:rsidTr="009667D5">
        <w:trPr>
          <w:trHeight w:val="267"/>
          <w:jc w:val="center"/>
        </w:trPr>
        <w:tc>
          <w:tcPr>
            <w:tcW w:w="1161" w:type="dxa"/>
            <w:tcBorders>
              <w:top w:val="single" w:sz="4" w:space="0" w:color="auto"/>
              <w:left w:val="single" w:sz="4" w:space="0" w:color="auto"/>
              <w:bottom w:val="single" w:sz="4" w:space="0" w:color="auto"/>
              <w:right w:val="single" w:sz="4" w:space="0" w:color="auto"/>
            </w:tcBorders>
            <w:hideMark/>
          </w:tcPr>
          <w:p w14:paraId="6A1415A0" w14:textId="77777777" w:rsidR="009667D5" w:rsidRDefault="009667D5">
            <w:pPr>
              <w:rPr>
                <w:lang w:val="en-US"/>
              </w:rPr>
            </w:pPr>
            <w:r>
              <w:rPr>
                <w:lang w:val="en-US"/>
              </w:rPr>
              <w:t>B4a</w:t>
            </w:r>
          </w:p>
        </w:tc>
        <w:tc>
          <w:tcPr>
            <w:tcW w:w="1669" w:type="dxa"/>
            <w:tcBorders>
              <w:top w:val="single" w:sz="4" w:space="0" w:color="auto"/>
              <w:left w:val="single" w:sz="4" w:space="0" w:color="auto"/>
              <w:bottom w:val="single" w:sz="4" w:space="0" w:color="auto"/>
              <w:right w:val="single" w:sz="4" w:space="0" w:color="auto"/>
            </w:tcBorders>
            <w:hideMark/>
          </w:tcPr>
          <w:p w14:paraId="1F8E8261" w14:textId="77777777" w:rsidR="009667D5" w:rsidRDefault="009667D5">
            <w:pPr>
              <w:rPr>
                <w:lang w:val="en-US"/>
              </w:rPr>
            </w:pPr>
            <w:r>
              <w:rPr>
                <w:lang w:val="en-US"/>
              </w:rPr>
              <w:t>0.15</w:t>
            </w:r>
          </w:p>
        </w:tc>
        <w:tc>
          <w:tcPr>
            <w:tcW w:w="2034" w:type="dxa"/>
            <w:tcBorders>
              <w:top w:val="single" w:sz="4" w:space="0" w:color="auto"/>
              <w:left w:val="single" w:sz="4" w:space="0" w:color="auto"/>
              <w:bottom w:val="single" w:sz="4" w:space="0" w:color="auto"/>
              <w:right w:val="single" w:sz="4" w:space="0" w:color="auto"/>
            </w:tcBorders>
            <w:hideMark/>
          </w:tcPr>
          <w:p w14:paraId="392C8241" w14:textId="77777777" w:rsidR="009667D5" w:rsidRDefault="009667D5">
            <w:pPr>
              <w:rPr>
                <w:rFonts w:ascii="Arial" w:hAnsi="Arial" w:cs="Arial"/>
                <w:sz w:val="20"/>
                <w:szCs w:val="20"/>
                <w:lang w:val="en-US"/>
              </w:rPr>
            </w:pPr>
            <w:r>
              <w:rPr>
                <w:rFonts w:ascii="Arial" w:hAnsi="Arial" w:cs="Arial"/>
                <w:sz w:val="20"/>
                <w:szCs w:val="20"/>
                <w:lang w:val="en-US"/>
              </w:rPr>
              <w:t>2.46</w:t>
            </w:r>
          </w:p>
        </w:tc>
      </w:tr>
      <w:tr w:rsidR="009667D5" w14:paraId="1BC740F2" w14:textId="77777777" w:rsidTr="009667D5">
        <w:trPr>
          <w:trHeight w:val="255"/>
          <w:jc w:val="center"/>
        </w:trPr>
        <w:tc>
          <w:tcPr>
            <w:tcW w:w="1161" w:type="dxa"/>
            <w:tcBorders>
              <w:top w:val="single" w:sz="4" w:space="0" w:color="auto"/>
              <w:left w:val="single" w:sz="4" w:space="0" w:color="auto"/>
              <w:bottom w:val="single" w:sz="4" w:space="0" w:color="auto"/>
              <w:right w:val="single" w:sz="4" w:space="0" w:color="auto"/>
            </w:tcBorders>
            <w:hideMark/>
          </w:tcPr>
          <w:p w14:paraId="1987C47A" w14:textId="77777777" w:rsidR="009667D5" w:rsidRDefault="009667D5">
            <w:pPr>
              <w:rPr>
                <w:rFonts w:asciiTheme="minorHAnsi" w:hAnsiTheme="minorHAnsi" w:cstheme="minorBidi"/>
                <w:lang w:val="en-US"/>
              </w:rPr>
            </w:pPr>
            <w:r>
              <w:rPr>
                <w:lang w:val="en-US"/>
              </w:rPr>
              <w:t>B4b</w:t>
            </w:r>
          </w:p>
        </w:tc>
        <w:tc>
          <w:tcPr>
            <w:tcW w:w="1669" w:type="dxa"/>
            <w:tcBorders>
              <w:top w:val="single" w:sz="4" w:space="0" w:color="auto"/>
              <w:left w:val="single" w:sz="4" w:space="0" w:color="auto"/>
              <w:bottom w:val="single" w:sz="4" w:space="0" w:color="auto"/>
              <w:right w:val="single" w:sz="4" w:space="0" w:color="auto"/>
            </w:tcBorders>
            <w:hideMark/>
          </w:tcPr>
          <w:p w14:paraId="088949CD" w14:textId="77777777" w:rsidR="009667D5" w:rsidRDefault="009667D5">
            <w:pPr>
              <w:rPr>
                <w:lang w:val="en-US"/>
              </w:rPr>
            </w:pPr>
            <w:r>
              <w:rPr>
                <w:lang w:val="en-US"/>
              </w:rPr>
              <w:t>0.56</w:t>
            </w:r>
          </w:p>
        </w:tc>
        <w:tc>
          <w:tcPr>
            <w:tcW w:w="2034" w:type="dxa"/>
            <w:tcBorders>
              <w:top w:val="single" w:sz="4" w:space="0" w:color="auto"/>
              <w:left w:val="single" w:sz="4" w:space="0" w:color="auto"/>
              <w:bottom w:val="single" w:sz="4" w:space="0" w:color="auto"/>
              <w:right w:val="single" w:sz="4" w:space="0" w:color="auto"/>
            </w:tcBorders>
            <w:hideMark/>
          </w:tcPr>
          <w:p w14:paraId="15E0E9E8" w14:textId="77777777" w:rsidR="009667D5" w:rsidRDefault="009667D5">
            <w:pPr>
              <w:rPr>
                <w:lang w:val="en-US"/>
              </w:rPr>
            </w:pPr>
            <w:r>
              <w:rPr>
                <w:lang w:val="en-US"/>
              </w:rPr>
              <w:t>2.78</w:t>
            </w:r>
          </w:p>
        </w:tc>
      </w:tr>
      <w:tr w:rsidR="009667D5" w14:paraId="6B2126CE" w14:textId="77777777" w:rsidTr="009667D5">
        <w:trPr>
          <w:trHeight w:val="255"/>
          <w:jc w:val="center"/>
        </w:trPr>
        <w:tc>
          <w:tcPr>
            <w:tcW w:w="1161" w:type="dxa"/>
            <w:tcBorders>
              <w:top w:val="single" w:sz="4" w:space="0" w:color="auto"/>
              <w:left w:val="single" w:sz="4" w:space="0" w:color="auto"/>
              <w:bottom w:val="single" w:sz="4" w:space="0" w:color="auto"/>
              <w:right w:val="single" w:sz="4" w:space="0" w:color="auto"/>
            </w:tcBorders>
            <w:hideMark/>
          </w:tcPr>
          <w:p w14:paraId="4613555C" w14:textId="77777777" w:rsidR="009667D5" w:rsidRDefault="009667D5">
            <w:pPr>
              <w:rPr>
                <w:lang w:val="en-US"/>
              </w:rPr>
            </w:pPr>
            <w:r>
              <w:rPr>
                <w:lang w:val="en-US"/>
              </w:rPr>
              <w:t>B4c</w:t>
            </w:r>
          </w:p>
        </w:tc>
        <w:tc>
          <w:tcPr>
            <w:tcW w:w="1669" w:type="dxa"/>
            <w:tcBorders>
              <w:top w:val="single" w:sz="4" w:space="0" w:color="auto"/>
              <w:left w:val="single" w:sz="4" w:space="0" w:color="auto"/>
              <w:bottom w:val="single" w:sz="4" w:space="0" w:color="auto"/>
              <w:right w:val="single" w:sz="4" w:space="0" w:color="auto"/>
            </w:tcBorders>
            <w:hideMark/>
          </w:tcPr>
          <w:p w14:paraId="6EBE9544" w14:textId="77777777" w:rsidR="009667D5" w:rsidRDefault="009667D5">
            <w:pPr>
              <w:rPr>
                <w:lang w:val="en-US"/>
              </w:rPr>
            </w:pPr>
            <w:r>
              <w:rPr>
                <w:lang w:val="en-US"/>
              </w:rPr>
              <w:t>0.96</w:t>
            </w:r>
          </w:p>
        </w:tc>
        <w:tc>
          <w:tcPr>
            <w:tcW w:w="2034" w:type="dxa"/>
            <w:tcBorders>
              <w:top w:val="single" w:sz="4" w:space="0" w:color="auto"/>
              <w:left w:val="single" w:sz="4" w:space="0" w:color="auto"/>
              <w:bottom w:val="single" w:sz="4" w:space="0" w:color="auto"/>
              <w:right w:val="single" w:sz="4" w:space="0" w:color="auto"/>
            </w:tcBorders>
            <w:hideMark/>
          </w:tcPr>
          <w:p w14:paraId="207152A8" w14:textId="77777777" w:rsidR="009667D5" w:rsidRDefault="009667D5">
            <w:pPr>
              <w:rPr>
                <w:lang w:val="en-US"/>
              </w:rPr>
            </w:pPr>
            <w:r>
              <w:rPr>
                <w:lang w:val="en-US"/>
              </w:rPr>
              <w:t>3.60</w:t>
            </w:r>
          </w:p>
        </w:tc>
      </w:tr>
      <w:tr w:rsidR="009667D5" w14:paraId="72C998C9" w14:textId="77777777" w:rsidTr="009667D5">
        <w:trPr>
          <w:trHeight w:val="255"/>
          <w:jc w:val="center"/>
        </w:trPr>
        <w:tc>
          <w:tcPr>
            <w:tcW w:w="1161" w:type="dxa"/>
            <w:tcBorders>
              <w:top w:val="single" w:sz="4" w:space="0" w:color="auto"/>
              <w:left w:val="single" w:sz="4" w:space="0" w:color="auto"/>
              <w:bottom w:val="single" w:sz="4" w:space="0" w:color="auto"/>
              <w:right w:val="single" w:sz="4" w:space="0" w:color="auto"/>
            </w:tcBorders>
            <w:hideMark/>
          </w:tcPr>
          <w:p w14:paraId="71DAA10C" w14:textId="77777777" w:rsidR="009667D5" w:rsidRDefault="009667D5">
            <w:pPr>
              <w:rPr>
                <w:lang w:val="en-US"/>
              </w:rPr>
            </w:pPr>
            <w:r>
              <w:rPr>
                <w:lang w:val="en-US"/>
              </w:rPr>
              <w:t>B4d</w:t>
            </w:r>
          </w:p>
        </w:tc>
        <w:tc>
          <w:tcPr>
            <w:tcW w:w="1669" w:type="dxa"/>
            <w:tcBorders>
              <w:top w:val="single" w:sz="4" w:space="0" w:color="auto"/>
              <w:left w:val="single" w:sz="4" w:space="0" w:color="auto"/>
              <w:bottom w:val="single" w:sz="4" w:space="0" w:color="auto"/>
              <w:right w:val="single" w:sz="4" w:space="0" w:color="auto"/>
            </w:tcBorders>
            <w:hideMark/>
          </w:tcPr>
          <w:p w14:paraId="6B613F12" w14:textId="77777777" w:rsidR="009667D5" w:rsidRDefault="009667D5">
            <w:pPr>
              <w:rPr>
                <w:lang w:val="en-US"/>
              </w:rPr>
            </w:pPr>
            <w:r>
              <w:rPr>
                <w:lang w:val="en-US"/>
              </w:rPr>
              <w:t>0.84</w:t>
            </w:r>
          </w:p>
        </w:tc>
        <w:tc>
          <w:tcPr>
            <w:tcW w:w="2034" w:type="dxa"/>
            <w:tcBorders>
              <w:top w:val="single" w:sz="4" w:space="0" w:color="auto"/>
              <w:left w:val="single" w:sz="4" w:space="0" w:color="auto"/>
              <w:bottom w:val="single" w:sz="4" w:space="0" w:color="auto"/>
              <w:right w:val="single" w:sz="4" w:space="0" w:color="auto"/>
            </w:tcBorders>
            <w:hideMark/>
          </w:tcPr>
          <w:p w14:paraId="0CBD7D2B" w14:textId="77777777" w:rsidR="009667D5" w:rsidRDefault="009667D5">
            <w:pPr>
              <w:rPr>
                <w:lang w:val="en-US"/>
              </w:rPr>
            </w:pPr>
            <w:r>
              <w:rPr>
                <w:lang w:val="en-US"/>
              </w:rPr>
              <w:t>Not detected</w:t>
            </w:r>
          </w:p>
        </w:tc>
      </w:tr>
      <w:tr w:rsidR="009667D5" w14:paraId="05FE9993" w14:textId="77777777" w:rsidTr="009667D5">
        <w:trPr>
          <w:trHeight w:val="267"/>
          <w:jc w:val="center"/>
        </w:trPr>
        <w:tc>
          <w:tcPr>
            <w:tcW w:w="1161" w:type="dxa"/>
            <w:tcBorders>
              <w:top w:val="single" w:sz="4" w:space="0" w:color="auto"/>
              <w:left w:val="single" w:sz="4" w:space="0" w:color="auto"/>
              <w:bottom w:val="single" w:sz="4" w:space="0" w:color="auto"/>
              <w:right w:val="single" w:sz="4" w:space="0" w:color="auto"/>
            </w:tcBorders>
            <w:hideMark/>
          </w:tcPr>
          <w:p w14:paraId="3AF73FB2" w14:textId="77777777" w:rsidR="009667D5" w:rsidRDefault="009667D5">
            <w:pPr>
              <w:rPr>
                <w:lang w:val="en-US"/>
              </w:rPr>
            </w:pPr>
            <w:r>
              <w:rPr>
                <w:lang w:val="en-US"/>
              </w:rPr>
              <w:t>B5</w:t>
            </w:r>
          </w:p>
        </w:tc>
        <w:tc>
          <w:tcPr>
            <w:tcW w:w="1669" w:type="dxa"/>
            <w:tcBorders>
              <w:top w:val="single" w:sz="4" w:space="0" w:color="auto"/>
              <w:left w:val="single" w:sz="4" w:space="0" w:color="auto"/>
              <w:bottom w:val="single" w:sz="4" w:space="0" w:color="auto"/>
              <w:right w:val="single" w:sz="4" w:space="0" w:color="auto"/>
            </w:tcBorders>
            <w:hideMark/>
          </w:tcPr>
          <w:p w14:paraId="3A536010" w14:textId="77777777" w:rsidR="009667D5" w:rsidRDefault="009667D5">
            <w:pPr>
              <w:rPr>
                <w:lang w:val="en-US"/>
              </w:rPr>
            </w:pPr>
            <w:r>
              <w:rPr>
                <w:lang w:val="en-US"/>
              </w:rPr>
              <w:t>0.40</w:t>
            </w:r>
          </w:p>
        </w:tc>
        <w:tc>
          <w:tcPr>
            <w:tcW w:w="2034" w:type="dxa"/>
            <w:tcBorders>
              <w:top w:val="single" w:sz="4" w:space="0" w:color="auto"/>
              <w:left w:val="single" w:sz="4" w:space="0" w:color="auto"/>
              <w:bottom w:val="single" w:sz="4" w:space="0" w:color="auto"/>
              <w:right w:val="single" w:sz="4" w:space="0" w:color="auto"/>
            </w:tcBorders>
            <w:hideMark/>
          </w:tcPr>
          <w:p w14:paraId="2B991BD5" w14:textId="77777777" w:rsidR="009667D5" w:rsidRDefault="009667D5">
            <w:pPr>
              <w:rPr>
                <w:lang w:val="en-US"/>
              </w:rPr>
            </w:pPr>
            <w:r>
              <w:rPr>
                <w:lang w:val="en-US"/>
              </w:rPr>
              <w:t>3.48</w:t>
            </w:r>
          </w:p>
        </w:tc>
      </w:tr>
      <w:tr w:rsidR="009667D5" w14:paraId="4CA7BBE6" w14:textId="77777777" w:rsidTr="009667D5">
        <w:trPr>
          <w:trHeight w:val="255"/>
          <w:jc w:val="center"/>
        </w:trPr>
        <w:tc>
          <w:tcPr>
            <w:tcW w:w="1161" w:type="dxa"/>
            <w:tcBorders>
              <w:top w:val="single" w:sz="4" w:space="0" w:color="auto"/>
              <w:left w:val="single" w:sz="4" w:space="0" w:color="auto"/>
              <w:bottom w:val="single" w:sz="4" w:space="0" w:color="auto"/>
              <w:right w:val="single" w:sz="4" w:space="0" w:color="auto"/>
            </w:tcBorders>
            <w:hideMark/>
          </w:tcPr>
          <w:p w14:paraId="13565786" w14:textId="77777777" w:rsidR="009667D5" w:rsidRDefault="009667D5">
            <w:pPr>
              <w:rPr>
                <w:lang w:val="en-US"/>
              </w:rPr>
            </w:pPr>
            <w:r>
              <w:rPr>
                <w:lang w:val="en-US"/>
              </w:rPr>
              <w:t>B6</w:t>
            </w:r>
          </w:p>
        </w:tc>
        <w:tc>
          <w:tcPr>
            <w:tcW w:w="1669" w:type="dxa"/>
            <w:tcBorders>
              <w:top w:val="single" w:sz="4" w:space="0" w:color="auto"/>
              <w:left w:val="single" w:sz="4" w:space="0" w:color="auto"/>
              <w:bottom w:val="single" w:sz="4" w:space="0" w:color="auto"/>
              <w:right w:val="single" w:sz="4" w:space="0" w:color="auto"/>
            </w:tcBorders>
            <w:hideMark/>
          </w:tcPr>
          <w:p w14:paraId="72686F37" w14:textId="77777777" w:rsidR="009667D5" w:rsidRDefault="009667D5">
            <w:pPr>
              <w:rPr>
                <w:lang w:val="en-US"/>
              </w:rPr>
            </w:pPr>
            <w:r>
              <w:rPr>
                <w:lang w:val="en-US"/>
              </w:rPr>
              <w:t>0.07</w:t>
            </w:r>
          </w:p>
        </w:tc>
        <w:tc>
          <w:tcPr>
            <w:tcW w:w="2034" w:type="dxa"/>
            <w:tcBorders>
              <w:top w:val="single" w:sz="4" w:space="0" w:color="auto"/>
              <w:left w:val="single" w:sz="4" w:space="0" w:color="auto"/>
              <w:bottom w:val="single" w:sz="4" w:space="0" w:color="auto"/>
              <w:right w:val="single" w:sz="4" w:space="0" w:color="auto"/>
            </w:tcBorders>
            <w:hideMark/>
          </w:tcPr>
          <w:p w14:paraId="2B7F9262" w14:textId="77777777" w:rsidR="009667D5" w:rsidRDefault="009667D5">
            <w:pPr>
              <w:rPr>
                <w:lang w:val="en-US"/>
              </w:rPr>
            </w:pPr>
            <w:r>
              <w:rPr>
                <w:lang w:val="en-US"/>
              </w:rPr>
              <w:t>0.02</w:t>
            </w:r>
          </w:p>
        </w:tc>
      </w:tr>
      <w:tr w:rsidR="009667D5" w14:paraId="13C42657" w14:textId="77777777" w:rsidTr="009667D5">
        <w:trPr>
          <w:trHeight w:val="255"/>
          <w:jc w:val="center"/>
        </w:trPr>
        <w:tc>
          <w:tcPr>
            <w:tcW w:w="1161" w:type="dxa"/>
            <w:tcBorders>
              <w:top w:val="single" w:sz="4" w:space="0" w:color="auto"/>
              <w:left w:val="single" w:sz="4" w:space="0" w:color="auto"/>
              <w:bottom w:val="single" w:sz="4" w:space="0" w:color="auto"/>
              <w:right w:val="single" w:sz="4" w:space="0" w:color="auto"/>
            </w:tcBorders>
            <w:hideMark/>
          </w:tcPr>
          <w:p w14:paraId="59E036A7" w14:textId="77777777" w:rsidR="009667D5" w:rsidRDefault="009667D5">
            <w:pPr>
              <w:rPr>
                <w:lang w:val="en-US"/>
              </w:rPr>
            </w:pPr>
            <w:r>
              <w:rPr>
                <w:lang w:val="en-US"/>
              </w:rPr>
              <w:t>B7a</w:t>
            </w:r>
          </w:p>
        </w:tc>
        <w:tc>
          <w:tcPr>
            <w:tcW w:w="1669" w:type="dxa"/>
            <w:tcBorders>
              <w:top w:val="single" w:sz="4" w:space="0" w:color="auto"/>
              <w:left w:val="single" w:sz="4" w:space="0" w:color="auto"/>
              <w:bottom w:val="single" w:sz="4" w:space="0" w:color="auto"/>
              <w:right w:val="single" w:sz="4" w:space="0" w:color="auto"/>
            </w:tcBorders>
            <w:hideMark/>
          </w:tcPr>
          <w:p w14:paraId="099D852E" w14:textId="77777777" w:rsidR="009667D5" w:rsidRDefault="009667D5">
            <w:pPr>
              <w:rPr>
                <w:lang w:val="en-US"/>
              </w:rPr>
            </w:pPr>
            <w:r>
              <w:rPr>
                <w:lang w:val="en-US"/>
              </w:rPr>
              <w:t>0.04</w:t>
            </w:r>
          </w:p>
        </w:tc>
        <w:tc>
          <w:tcPr>
            <w:tcW w:w="2034" w:type="dxa"/>
            <w:tcBorders>
              <w:top w:val="single" w:sz="4" w:space="0" w:color="auto"/>
              <w:left w:val="single" w:sz="4" w:space="0" w:color="auto"/>
              <w:bottom w:val="single" w:sz="4" w:space="0" w:color="auto"/>
              <w:right w:val="single" w:sz="4" w:space="0" w:color="auto"/>
            </w:tcBorders>
            <w:hideMark/>
          </w:tcPr>
          <w:p w14:paraId="7B0AE763" w14:textId="77777777" w:rsidR="009667D5" w:rsidRDefault="009667D5">
            <w:pPr>
              <w:rPr>
                <w:lang w:val="en-US"/>
              </w:rPr>
            </w:pPr>
            <w:r>
              <w:rPr>
                <w:lang w:val="en-US"/>
              </w:rPr>
              <w:t>1.12</w:t>
            </w:r>
          </w:p>
        </w:tc>
      </w:tr>
      <w:tr w:rsidR="009667D5" w14:paraId="25C3253E" w14:textId="77777777" w:rsidTr="009667D5">
        <w:trPr>
          <w:trHeight w:val="267"/>
          <w:jc w:val="center"/>
        </w:trPr>
        <w:tc>
          <w:tcPr>
            <w:tcW w:w="1161" w:type="dxa"/>
            <w:tcBorders>
              <w:top w:val="single" w:sz="4" w:space="0" w:color="auto"/>
              <w:left w:val="single" w:sz="4" w:space="0" w:color="auto"/>
              <w:bottom w:val="single" w:sz="4" w:space="0" w:color="auto"/>
              <w:right w:val="single" w:sz="4" w:space="0" w:color="auto"/>
            </w:tcBorders>
            <w:hideMark/>
          </w:tcPr>
          <w:p w14:paraId="66FF847C" w14:textId="77777777" w:rsidR="009667D5" w:rsidRDefault="009667D5">
            <w:pPr>
              <w:rPr>
                <w:lang w:val="en-US"/>
              </w:rPr>
            </w:pPr>
            <w:r>
              <w:rPr>
                <w:lang w:val="en-US"/>
              </w:rPr>
              <w:t>B7b</w:t>
            </w:r>
          </w:p>
        </w:tc>
        <w:tc>
          <w:tcPr>
            <w:tcW w:w="1669" w:type="dxa"/>
            <w:tcBorders>
              <w:top w:val="single" w:sz="4" w:space="0" w:color="auto"/>
              <w:left w:val="single" w:sz="4" w:space="0" w:color="auto"/>
              <w:bottom w:val="single" w:sz="4" w:space="0" w:color="auto"/>
              <w:right w:val="single" w:sz="4" w:space="0" w:color="auto"/>
            </w:tcBorders>
            <w:hideMark/>
          </w:tcPr>
          <w:p w14:paraId="738A81AE" w14:textId="77777777" w:rsidR="009667D5" w:rsidRDefault="009667D5">
            <w:pPr>
              <w:rPr>
                <w:lang w:val="en-US"/>
              </w:rPr>
            </w:pPr>
            <w:r>
              <w:rPr>
                <w:lang w:val="en-US"/>
              </w:rPr>
              <w:t>0.07</w:t>
            </w:r>
          </w:p>
        </w:tc>
        <w:tc>
          <w:tcPr>
            <w:tcW w:w="2034" w:type="dxa"/>
            <w:tcBorders>
              <w:top w:val="single" w:sz="4" w:space="0" w:color="auto"/>
              <w:left w:val="single" w:sz="4" w:space="0" w:color="auto"/>
              <w:bottom w:val="single" w:sz="4" w:space="0" w:color="auto"/>
              <w:right w:val="single" w:sz="4" w:space="0" w:color="auto"/>
            </w:tcBorders>
            <w:hideMark/>
          </w:tcPr>
          <w:p w14:paraId="239DDAFC" w14:textId="77777777" w:rsidR="009667D5" w:rsidRDefault="009667D5">
            <w:pPr>
              <w:rPr>
                <w:lang w:val="en-US"/>
              </w:rPr>
            </w:pPr>
            <w:r>
              <w:rPr>
                <w:lang w:val="en-US"/>
              </w:rPr>
              <w:t>1.12</w:t>
            </w:r>
          </w:p>
        </w:tc>
      </w:tr>
      <w:tr w:rsidR="009667D5" w14:paraId="51A72C3F" w14:textId="77777777" w:rsidTr="009667D5">
        <w:trPr>
          <w:trHeight w:val="255"/>
          <w:jc w:val="center"/>
        </w:trPr>
        <w:tc>
          <w:tcPr>
            <w:tcW w:w="1161" w:type="dxa"/>
            <w:tcBorders>
              <w:top w:val="single" w:sz="4" w:space="0" w:color="auto"/>
              <w:left w:val="single" w:sz="4" w:space="0" w:color="auto"/>
              <w:bottom w:val="single" w:sz="4" w:space="0" w:color="auto"/>
              <w:right w:val="single" w:sz="4" w:space="0" w:color="auto"/>
            </w:tcBorders>
            <w:hideMark/>
          </w:tcPr>
          <w:p w14:paraId="4A788D92" w14:textId="77777777" w:rsidR="009667D5" w:rsidRDefault="009667D5">
            <w:pPr>
              <w:rPr>
                <w:lang w:val="en-US"/>
              </w:rPr>
            </w:pPr>
            <w:r>
              <w:rPr>
                <w:lang w:val="en-US"/>
              </w:rPr>
              <w:t>B7c</w:t>
            </w:r>
          </w:p>
        </w:tc>
        <w:tc>
          <w:tcPr>
            <w:tcW w:w="1669" w:type="dxa"/>
            <w:tcBorders>
              <w:top w:val="single" w:sz="4" w:space="0" w:color="auto"/>
              <w:left w:val="single" w:sz="4" w:space="0" w:color="auto"/>
              <w:bottom w:val="single" w:sz="4" w:space="0" w:color="auto"/>
              <w:right w:val="single" w:sz="4" w:space="0" w:color="auto"/>
            </w:tcBorders>
            <w:hideMark/>
          </w:tcPr>
          <w:p w14:paraId="0DDBEFE9" w14:textId="77777777" w:rsidR="009667D5" w:rsidRDefault="009667D5">
            <w:pPr>
              <w:rPr>
                <w:lang w:val="en-US"/>
              </w:rPr>
            </w:pPr>
            <w:r>
              <w:rPr>
                <w:lang w:val="en-US"/>
              </w:rPr>
              <w:t>0.39</w:t>
            </w:r>
          </w:p>
        </w:tc>
        <w:tc>
          <w:tcPr>
            <w:tcW w:w="2034" w:type="dxa"/>
            <w:tcBorders>
              <w:top w:val="single" w:sz="4" w:space="0" w:color="auto"/>
              <w:left w:val="single" w:sz="4" w:space="0" w:color="auto"/>
              <w:bottom w:val="single" w:sz="4" w:space="0" w:color="auto"/>
              <w:right w:val="single" w:sz="4" w:space="0" w:color="auto"/>
            </w:tcBorders>
            <w:hideMark/>
          </w:tcPr>
          <w:p w14:paraId="498F7744" w14:textId="77777777" w:rsidR="009667D5" w:rsidRDefault="009667D5">
            <w:pPr>
              <w:rPr>
                <w:lang w:val="en-US"/>
              </w:rPr>
            </w:pPr>
            <w:r>
              <w:rPr>
                <w:lang w:val="en-US"/>
              </w:rPr>
              <w:t>2.54</w:t>
            </w:r>
          </w:p>
        </w:tc>
      </w:tr>
      <w:tr w:rsidR="009667D5" w14:paraId="382269A5" w14:textId="77777777" w:rsidTr="009667D5">
        <w:trPr>
          <w:trHeight w:val="255"/>
          <w:jc w:val="center"/>
        </w:trPr>
        <w:tc>
          <w:tcPr>
            <w:tcW w:w="1161" w:type="dxa"/>
            <w:tcBorders>
              <w:top w:val="single" w:sz="4" w:space="0" w:color="auto"/>
              <w:left w:val="single" w:sz="4" w:space="0" w:color="auto"/>
              <w:bottom w:val="single" w:sz="4" w:space="0" w:color="auto"/>
              <w:right w:val="single" w:sz="4" w:space="0" w:color="auto"/>
            </w:tcBorders>
            <w:hideMark/>
          </w:tcPr>
          <w:p w14:paraId="155959D6" w14:textId="77777777" w:rsidR="009667D5" w:rsidRDefault="009667D5">
            <w:pPr>
              <w:rPr>
                <w:lang w:val="en-US"/>
              </w:rPr>
            </w:pPr>
            <w:r>
              <w:rPr>
                <w:lang w:val="en-US"/>
              </w:rPr>
              <w:t>B7d</w:t>
            </w:r>
          </w:p>
        </w:tc>
        <w:tc>
          <w:tcPr>
            <w:tcW w:w="1669" w:type="dxa"/>
            <w:tcBorders>
              <w:top w:val="single" w:sz="4" w:space="0" w:color="auto"/>
              <w:left w:val="single" w:sz="4" w:space="0" w:color="auto"/>
              <w:bottom w:val="single" w:sz="4" w:space="0" w:color="auto"/>
              <w:right w:val="single" w:sz="4" w:space="0" w:color="auto"/>
            </w:tcBorders>
            <w:hideMark/>
          </w:tcPr>
          <w:p w14:paraId="1FD81E44" w14:textId="77777777" w:rsidR="009667D5" w:rsidRDefault="009667D5">
            <w:pPr>
              <w:rPr>
                <w:lang w:val="en-US"/>
              </w:rPr>
            </w:pPr>
            <w:r>
              <w:rPr>
                <w:lang w:val="en-US"/>
              </w:rPr>
              <w:t>1.15</w:t>
            </w:r>
          </w:p>
        </w:tc>
        <w:tc>
          <w:tcPr>
            <w:tcW w:w="2034" w:type="dxa"/>
            <w:tcBorders>
              <w:top w:val="single" w:sz="4" w:space="0" w:color="auto"/>
              <w:left w:val="single" w:sz="4" w:space="0" w:color="auto"/>
              <w:bottom w:val="single" w:sz="4" w:space="0" w:color="auto"/>
              <w:right w:val="single" w:sz="4" w:space="0" w:color="auto"/>
            </w:tcBorders>
            <w:hideMark/>
          </w:tcPr>
          <w:p w14:paraId="410DE108" w14:textId="77777777" w:rsidR="009667D5" w:rsidRDefault="009667D5">
            <w:pPr>
              <w:rPr>
                <w:lang w:val="en-US"/>
              </w:rPr>
            </w:pPr>
            <w:r>
              <w:rPr>
                <w:lang w:val="en-US"/>
              </w:rPr>
              <w:t>5.64</w:t>
            </w:r>
          </w:p>
        </w:tc>
      </w:tr>
      <w:tr w:rsidR="009667D5" w14:paraId="5422FABA" w14:textId="77777777" w:rsidTr="009667D5">
        <w:trPr>
          <w:trHeight w:val="267"/>
          <w:jc w:val="center"/>
        </w:trPr>
        <w:tc>
          <w:tcPr>
            <w:tcW w:w="1161" w:type="dxa"/>
            <w:tcBorders>
              <w:top w:val="single" w:sz="4" w:space="0" w:color="auto"/>
              <w:left w:val="single" w:sz="4" w:space="0" w:color="auto"/>
              <w:bottom w:val="single" w:sz="4" w:space="0" w:color="auto"/>
              <w:right w:val="single" w:sz="4" w:space="0" w:color="auto"/>
            </w:tcBorders>
            <w:hideMark/>
          </w:tcPr>
          <w:p w14:paraId="1B3BAC58" w14:textId="77777777" w:rsidR="009667D5" w:rsidRDefault="009667D5">
            <w:pPr>
              <w:rPr>
                <w:lang w:val="en-US"/>
              </w:rPr>
            </w:pPr>
            <w:r>
              <w:rPr>
                <w:lang w:val="en-US"/>
              </w:rPr>
              <w:t>B8a</w:t>
            </w:r>
          </w:p>
        </w:tc>
        <w:tc>
          <w:tcPr>
            <w:tcW w:w="1669" w:type="dxa"/>
            <w:tcBorders>
              <w:top w:val="single" w:sz="4" w:space="0" w:color="auto"/>
              <w:left w:val="single" w:sz="4" w:space="0" w:color="auto"/>
              <w:bottom w:val="single" w:sz="4" w:space="0" w:color="auto"/>
              <w:right w:val="single" w:sz="4" w:space="0" w:color="auto"/>
            </w:tcBorders>
            <w:hideMark/>
          </w:tcPr>
          <w:p w14:paraId="5B4F77CB" w14:textId="77777777" w:rsidR="009667D5" w:rsidRDefault="009667D5">
            <w:pPr>
              <w:rPr>
                <w:lang w:val="en-US"/>
              </w:rPr>
            </w:pPr>
            <w:r>
              <w:rPr>
                <w:lang w:val="en-US"/>
              </w:rPr>
              <w:t>0.68</w:t>
            </w:r>
          </w:p>
        </w:tc>
        <w:tc>
          <w:tcPr>
            <w:tcW w:w="2034" w:type="dxa"/>
            <w:tcBorders>
              <w:top w:val="single" w:sz="4" w:space="0" w:color="auto"/>
              <w:left w:val="single" w:sz="4" w:space="0" w:color="auto"/>
              <w:bottom w:val="single" w:sz="4" w:space="0" w:color="auto"/>
              <w:right w:val="single" w:sz="4" w:space="0" w:color="auto"/>
            </w:tcBorders>
            <w:hideMark/>
          </w:tcPr>
          <w:p w14:paraId="12B3A00F" w14:textId="77777777" w:rsidR="009667D5" w:rsidRDefault="009667D5">
            <w:pPr>
              <w:rPr>
                <w:lang w:val="en-US"/>
              </w:rPr>
            </w:pPr>
            <w:r>
              <w:rPr>
                <w:lang w:val="en-US"/>
              </w:rPr>
              <w:t>Not detected</w:t>
            </w:r>
          </w:p>
        </w:tc>
      </w:tr>
      <w:tr w:rsidR="009667D5" w14:paraId="3E157728" w14:textId="77777777" w:rsidTr="009667D5">
        <w:trPr>
          <w:trHeight w:val="255"/>
          <w:jc w:val="center"/>
        </w:trPr>
        <w:tc>
          <w:tcPr>
            <w:tcW w:w="1161" w:type="dxa"/>
            <w:tcBorders>
              <w:top w:val="single" w:sz="4" w:space="0" w:color="auto"/>
              <w:left w:val="single" w:sz="4" w:space="0" w:color="auto"/>
              <w:bottom w:val="single" w:sz="4" w:space="0" w:color="auto"/>
              <w:right w:val="single" w:sz="4" w:space="0" w:color="auto"/>
            </w:tcBorders>
            <w:hideMark/>
          </w:tcPr>
          <w:p w14:paraId="5CF983B1" w14:textId="77777777" w:rsidR="009667D5" w:rsidRDefault="009667D5">
            <w:pPr>
              <w:rPr>
                <w:lang w:val="en-US"/>
              </w:rPr>
            </w:pPr>
            <w:r>
              <w:rPr>
                <w:lang w:val="en-US"/>
              </w:rPr>
              <w:t>B8b</w:t>
            </w:r>
          </w:p>
        </w:tc>
        <w:tc>
          <w:tcPr>
            <w:tcW w:w="1669" w:type="dxa"/>
            <w:tcBorders>
              <w:top w:val="single" w:sz="4" w:space="0" w:color="auto"/>
              <w:left w:val="single" w:sz="4" w:space="0" w:color="auto"/>
              <w:bottom w:val="single" w:sz="4" w:space="0" w:color="auto"/>
              <w:right w:val="single" w:sz="4" w:space="0" w:color="auto"/>
            </w:tcBorders>
            <w:hideMark/>
          </w:tcPr>
          <w:p w14:paraId="6B3DFA22" w14:textId="77777777" w:rsidR="009667D5" w:rsidRDefault="009667D5">
            <w:pPr>
              <w:rPr>
                <w:lang w:val="en-US"/>
              </w:rPr>
            </w:pPr>
            <w:r>
              <w:rPr>
                <w:lang w:val="en-US"/>
              </w:rPr>
              <w:t>0.80</w:t>
            </w:r>
          </w:p>
        </w:tc>
        <w:tc>
          <w:tcPr>
            <w:tcW w:w="2034" w:type="dxa"/>
            <w:tcBorders>
              <w:top w:val="single" w:sz="4" w:space="0" w:color="auto"/>
              <w:left w:val="single" w:sz="4" w:space="0" w:color="auto"/>
              <w:bottom w:val="single" w:sz="4" w:space="0" w:color="auto"/>
              <w:right w:val="single" w:sz="4" w:space="0" w:color="auto"/>
            </w:tcBorders>
            <w:hideMark/>
          </w:tcPr>
          <w:p w14:paraId="43B1EC94" w14:textId="77777777" w:rsidR="009667D5" w:rsidRDefault="009667D5">
            <w:pPr>
              <w:rPr>
                <w:lang w:val="en-US"/>
              </w:rPr>
            </w:pPr>
            <w:r>
              <w:rPr>
                <w:lang w:val="en-US"/>
              </w:rPr>
              <w:t>Not detected</w:t>
            </w:r>
          </w:p>
        </w:tc>
      </w:tr>
      <w:tr w:rsidR="009667D5" w14:paraId="34BAFA4A" w14:textId="77777777" w:rsidTr="009667D5">
        <w:trPr>
          <w:trHeight w:val="255"/>
          <w:jc w:val="center"/>
        </w:trPr>
        <w:tc>
          <w:tcPr>
            <w:tcW w:w="1161" w:type="dxa"/>
            <w:tcBorders>
              <w:top w:val="single" w:sz="4" w:space="0" w:color="auto"/>
              <w:left w:val="single" w:sz="4" w:space="0" w:color="auto"/>
              <w:bottom w:val="single" w:sz="4" w:space="0" w:color="auto"/>
              <w:right w:val="single" w:sz="4" w:space="0" w:color="auto"/>
            </w:tcBorders>
            <w:hideMark/>
          </w:tcPr>
          <w:p w14:paraId="588909A1" w14:textId="77777777" w:rsidR="009667D5" w:rsidRDefault="009667D5">
            <w:pPr>
              <w:rPr>
                <w:lang w:val="en-US"/>
              </w:rPr>
            </w:pPr>
            <w:r>
              <w:rPr>
                <w:lang w:val="en-US"/>
              </w:rPr>
              <w:t>B8c</w:t>
            </w:r>
          </w:p>
        </w:tc>
        <w:tc>
          <w:tcPr>
            <w:tcW w:w="1669" w:type="dxa"/>
            <w:tcBorders>
              <w:top w:val="single" w:sz="4" w:space="0" w:color="auto"/>
              <w:left w:val="single" w:sz="4" w:space="0" w:color="auto"/>
              <w:bottom w:val="single" w:sz="4" w:space="0" w:color="auto"/>
              <w:right w:val="single" w:sz="4" w:space="0" w:color="auto"/>
            </w:tcBorders>
            <w:hideMark/>
          </w:tcPr>
          <w:p w14:paraId="1C434600" w14:textId="77777777" w:rsidR="009667D5" w:rsidRDefault="009667D5">
            <w:pPr>
              <w:rPr>
                <w:lang w:val="en-US"/>
              </w:rPr>
            </w:pPr>
            <w:r>
              <w:rPr>
                <w:lang w:val="en-US"/>
              </w:rPr>
              <w:t>1.73</w:t>
            </w:r>
          </w:p>
        </w:tc>
        <w:tc>
          <w:tcPr>
            <w:tcW w:w="2034" w:type="dxa"/>
            <w:tcBorders>
              <w:top w:val="single" w:sz="4" w:space="0" w:color="auto"/>
              <w:left w:val="single" w:sz="4" w:space="0" w:color="auto"/>
              <w:bottom w:val="single" w:sz="4" w:space="0" w:color="auto"/>
              <w:right w:val="single" w:sz="4" w:space="0" w:color="auto"/>
            </w:tcBorders>
            <w:hideMark/>
          </w:tcPr>
          <w:p w14:paraId="5BE11FAD" w14:textId="77777777" w:rsidR="009667D5" w:rsidRDefault="009667D5">
            <w:pPr>
              <w:rPr>
                <w:lang w:val="en-US"/>
              </w:rPr>
            </w:pPr>
            <w:r>
              <w:rPr>
                <w:lang w:val="en-US"/>
              </w:rPr>
              <w:t>Not detected</w:t>
            </w:r>
          </w:p>
        </w:tc>
      </w:tr>
    </w:tbl>
    <w:p w14:paraId="0420AE1F" w14:textId="77777777" w:rsidR="00FB5126" w:rsidRDefault="00FB5126" w:rsidP="00FB5126">
      <w:pPr>
        <w:jc w:val="both"/>
        <w:rPr>
          <w:b/>
          <w:bCs/>
          <w:lang w:val="en-US"/>
        </w:rPr>
      </w:pPr>
    </w:p>
    <w:p w14:paraId="52036DA6" w14:textId="77777777" w:rsidR="00282E16" w:rsidRDefault="00282E16"/>
    <w:sectPr w:rsidR="00282E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EwMTQ3sjQxNLAwMLNQ0lEKTi0uzszPAykwrAUA2bsP2iwAAAA="/>
  </w:docVars>
  <w:rsids>
    <w:rsidRoot w:val="00915097"/>
    <w:rsid w:val="00282E16"/>
    <w:rsid w:val="0040411E"/>
    <w:rsid w:val="00915097"/>
    <w:rsid w:val="009667D5"/>
    <w:rsid w:val="00FB5126"/>
    <w:rsid w:val="00FF258E"/>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59EB4"/>
  <w15:chartTrackingRefBased/>
  <w15:docId w15:val="{7E777117-B129-487C-B68C-57CDC891B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126"/>
    <w:pPr>
      <w:spacing w:after="0" w:line="240" w:lineRule="auto"/>
    </w:pPr>
    <w:rPr>
      <w:rFonts w:ascii="Times New Roman" w:eastAsia="MS Mincho" w:hAnsi="Times New Roman" w:cs="Times New Roman"/>
      <w:sz w:val="24"/>
      <w:szCs w:val="24"/>
      <w:lang w:val="de-DE"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ofcontents">
    <w:name w:val="Table of contents"/>
    <w:basedOn w:val="Normal"/>
    <w:autoRedefine/>
    <w:rsid w:val="00FB5126"/>
    <w:rPr>
      <w:lang w:val="en-US"/>
    </w:rPr>
  </w:style>
  <w:style w:type="paragraph" w:customStyle="1" w:styleId="Title2">
    <w:name w:val="Title2"/>
    <w:basedOn w:val="Normal"/>
    <w:rsid w:val="00FB5126"/>
    <w:rPr>
      <w:b/>
      <w:lang w:val="en-US"/>
    </w:rPr>
  </w:style>
  <w:style w:type="character" w:customStyle="1" w:styleId="MaintextChar">
    <w:name w:val="Main text Char"/>
    <w:link w:val="Maintext"/>
    <w:locked/>
    <w:rsid w:val="00FB5126"/>
    <w:rPr>
      <w:sz w:val="24"/>
      <w:szCs w:val="24"/>
      <w:lang w:val="en-US" w:eastAsia="ja-JP"/>
    </w:rPr>
  </w:style>
  <w:style w:type="paragraph" w:customStyle="1" w:styleId="Maintext">
    <w:name w:val="Main text"/>
    <w:basedOn w:val="Normal"/>
    <w:link w:val="MaintextChar"/>
    <w:autoRedefine/>
    <w:rsid w:val="00FB5126"/>
    <w:pPr>
      <w:spacing w:line="480" w:lineRule="auto"/>
    </w:pPr>
    <w:rPr>
      <w:rFonts w:asciiTheme="minorHAnsi" w:eastAsiaTheme="minorEastAsia" w:hAnsiTheme="minorHAnsi" w:cstheme="minorBidi"/>
      <w:lang w:val="en-US"/>
    </w:rPr>
  </w:style>
  <w:style w:type="table" w:styleId="LightList-Accent3">
    <w:name w:val="Light List Accent 3"/>
    <w:basedOn w:val="TableNormal"/>
    <w:uiPriority w:val="61"/>
    <w:semiHidden/>
    <w:unhideWhenUsed/>
    <w:rsid w:val="00FB5126"/>
    <w:pPr>
      <w:spacing w:after="0" w:line="240" w:lineRule="auto"/>
    </w:pPr>
    <w:rPr>
      <w:lang w:val="en-US" w:eastAsia="en-US"/>
    </w:rPr>
    <w:tblPr>
      <w:tblStyleRowBandSize w:val="1"/>
      <w:tblStyleColBandSize w:val="1"/>
      <w:tblInd w:w="0" w:type="nil"/>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Lines="0" w:before="0" w:beforeAutospacing="0" w:afterLines="0" w:after="0" w:afterAutospacing="0" w:line="240" w:lineRule="auto"/>
      </w:pPr>
      <w:rPr>
        <w:b/>
        <w:bCs/>
        <w:color w:val="FFFFFF" w:themeColor="background1"/>
      </w:rPr>
      <w:tblPr/>
      <w:tcPr>
        <w:shd w:val="clear" w:color="auto" w:fill="A5A5A5" w:themeFill="accent3"/>
      </w:tcPr>
    </w:tblStylePr>
    <w:tblStylePr w:type="lastRow">
      <w:pPr>
        <w:spacing w:beforeLines="0" w:before="0" w:beforeAutospacing="0" w:afterLines="0" w:after="0" w:afterAutospacing="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2101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1665</Words>
  <Characters>9494</Characters>
  <Application>Microsoft Office Word</Application>
  <DocSecurity>0</DocSecurity>
  <Lines>79</Lines>
  <Paragraphs>22</Paragraphs>
  <ScaleCrop>false</ScaleCrop>
  <Company>The University of Queensland</Company>
  <LinksUpToDate>false</LinksUpToDate>
  <CharactersWithSpaces>11137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Zhao Wang</dc:creator>
  <cp:keywords/>
  <dc:description/>
  <cp:lastModifiedBy>Zhao Wang</cp:lastModifiedBy>
  <cp:revision>5</cp:revision>
  <dcterms:created xsi:type="dcterms:W3CDTF">2022-08-03T23:08:00Z</dcterms:created>
  <dcterms:modified xsi:type="dcterms:W3CDTF">2022-08-04T04:27:00Z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2022-08-03T23:09:31Z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9c4db333-c43f-45cc-9599-d74d2cab8f43</vt:lpwstr>
  </property>
  <property fmtid="{D5CDD505-2E9C-101B-9397-08002B2CF9AE}" pid="8" name="MSIP_Label_0f488380-630a-4f55-a077-a19445e3f360_ContentBits">
    <vt:lpwstr>0</vt:lpwstr>
  </property>
</Properties>
</file>