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601C0B" w14:textId="77777777" w:rsidR="00FC18C2" w:rsidRDefault="00FC18C2" w:rsidP="00FC18C2">
      <w:pPr>
        <w:spacing w:line="300" w:lineRule="auto"/>
        <w:jc w:val="left"/>
        <w:rPr>
          <w:rFonts w:ascii="TimesNewRomanPS-BoldMT" w:hAnsi="TimesNewRomanPS-BoldMT" w:hint="eastAsia"/>
          <w:b/>
          <w:bCs/>
          <w:sz w:val="24"/>
          <w:szCs w:val="24"/>
        </w:rPr>
      </w:pPr>
      <w:bookmarkStart w:id="0" w:name="_Hlk53174008"/>
      <w:r>
        <w:rPr>
          <w:rFonts w:ascii="TimesNewRomanPS-BoldMT" w:hAnsi="TimesNewRomanPS-BoldMT"/>
          <w:b/>
          <w:bCs/>
          <w:sz w:val="24"/>
          <w:szCs w:val="24"/>
        </w:rPr>
        <w:t>Appendix 1</w:t>
      </w:r>
    </w:p>
    <w:p w14:paraId="4920CB01" w14:textId="77777777" w:rsidR="00FC18C2" w:rsidRDefault="00FC18C2" w:rsidP="00FC18C2">
      <w:pPr>
        <w:spacing w:line="300" w:lineRule="auto"/>
        <w:ind w:firstLine="420"/>
        <w:jc w:val="left"/>
        <w:rPr>
          <w:rFonts w:ascii="TimesNewRomanPS-BoldMT" w:hAnsi="TimesNewRomanPS-BoldMT" w:hint="eastAsia"/>
          <w:b/>
          <w:bCs/>
          <w:sz w:val="24"/>
          <w:szCs w:val="24"/>
        </w:rPr>
      </w:pPr>
    </w:p>
    <w:bookmarkEnd w:id="0"/>
    <w:p w14:paraId="0A18CCB1" w14:textId="77777777" w:rsidR="00FC18C2" w:rsidRDefault="00FC18C2" w:rsidP="00FC18C2">
      <w:pPr>
        <w:spacing w:line="300" w:lineRule="auto"/>
        <w:jc w:val="left"/>
        <w:rPr>
          <w:rFonts w:ascii="仿宋" w:eastAsia="仿宋" w:hAnsi="仿宋"/>
          <w:szCs w:val="21"/>
        </w:rPr>
      </w:pPr>
      <w:r>
        <w:rPr>
          <w:rFonts w:ascii="TimesNewRomanPS-BoldMT" w:hAnsi="TimesNewRomanPS-BoldMT" w:hint="eastAsia"/>
          <w:b/>
          <w:bCs/>
          <w:szCs w:val="21"/>
        </w:rPr>
        <w:t>T</w:t>
      </w:r>
      <w:r>
        <w:rPr>
          <w:rFonts w:ascii="TimesNewRomanPS-BoldMT" w:hAnsi="TimesNewRomanPS-BoldMT"/>
          <w:b/>
          <w:bCs/>
          <w:szCs w:val="21"/>
        </w:rPr>
        <w:t xml:space="preserve">hematic </w:t>
      </w:r>
      <w:r>
        <w:rPr>
          <w:rFonts w:ascii="TimesNewRomanPS-BoldMT" w:hAnsi="TimesNewRomanPS-BoldMT" w:hint="eastAsia"/>
          <w:b/>
          <w:bCs/>
          <w:szCs w:val="21"/>
        </w:rPr>
        <w:t>Research</w:t>
      </w:r>
      <w:r>
        <w:rPr>
          <w:rFonts w:ascii="TimesNewRomanPS-BoldMT" w:hAnsi="TimesNewRomanPS-BoldMT" w:hint="eastAsia"/>
          <w:b/>
          <w:bCs/>
          <w:szCs w:val="21"/>
        </w:rPr>
        <w:t>：</w:t>
      </w:r>
      <w:proofErr w:type="spellStart"/>
      <w:r>
        <w:rPr>
          <w:rFonts w:ascii="TimesNewRomanPS-BoldMT" w:hAnsi="TimesNewRomanPS-BoldMT"/>
          <w:b/>
          <w:bCs/>
          <w:szCs w:val="21"/>
        </w:rPr>
        <w:t>Environmentology</w:t>
      </w:r>
      <w:proofErr w:type="spellEnd"/>
      <w:r>
        <w:rPr>
          <w:rFonts w:ascii="TimesNewRomanPS-BoldMT" w:hAnsi="TimesNewRomanPS-BoldMT"/>
          <w:b/>
          <w:bCs/>
          <w:szCs w:val="21"/>
        </w:rPr>
        <w:t xml:space="preserve"> of Virus Survival and Transmission and Strategies for COVID-19 Prevention and Control</w:t>
      </w:r>
    </w:p>
    <w:p w14:paraId="74716848" w14:textId="77777777" w:rsidR="00FC18C2" w:rsidRDefault="00FC18C2" w:rsidP="00FC18C2">
      <w:pPr>
        <w:jc w:val="center"/>
        <w:rPr>
          <w:rFonts w:ascii="TimesNewRomanPS-BoldMT" w:hAnsi="TimesNewRomanPS-BoldMT" w:hint="eastAsia"/>
          <w:b/>
          <w:bCs/>
          <w:sz w:val="30"/>
          <w:szCs w:val="30"/>
        </w:rPr>
      </w:pPr>
      <w:r>
        <w:rPr>
          <w:rFonts w:ascii="TimesNewRomanPS-BoldMT" w:hAnsi="TimesNewRomanPS-BoldMT" w:hint="eastAsia"/>
          <w:b/>
          <w:bCs/>
          <w:sz w:val="30"/>
          <w:szCs w:val="30"/>
        </w:rPr>
        <w:t>B</w:t>
      </w:r>
      <w:r>
        <w:rPr>
          <w:rFonts w:ascii="TimesNewRomanPS-BoldMT" w:hAnsi="TimesNewRomanPS-BoldMT"/>
          <w:b/>
          <w:bCs/>
          <w:sz w:val="30"/>
          <w:szCs w:val="30"/>
        </w:rPr>
        <w:t xml:space="preserve">ackground and </w:t>
      </w:r>
      <w:r>
        <w:rPr>
          <w:rFonts w:ascii="TimesNewRomanPS-BoldMT" w:hAnsi="TimesNewRomanPS-BoldMT" w:hint="eastAsia"/>
          <w:b/>
          <w:bCs/>
          <w:sz w:val="30"/>
          <w:szCs w:val="30"/>
        </w:rPr>
        <w:t>S</w:t>
      </w:r>
      <w:r>
        <w:rPr>
          <w:rFonts w:ascii="TimesNewRomanPS-BoldMT" w:hAnsi="TimesNewRomanPS-BoldMT"/>
          <w:b/>
          <w:bCs/>
          <w:sz w:val="30"/>
          <w:szCs w:val="30"/>
        </w:rPr>
        <w:t xml:space="preserve">ignificance </w:t>
      </w:r>
    </w:p>
    <w:p w14:paraId="3DBA8506" w14:textId="77777777" w:rsidR="00FC18C2" w:rsidRDefault="00FC18C2" w:rsidP="00FC18C2">
      <w:pPr>
        <w:spacing w:line="300" w:lineRule="auto"/>
        <w:jc w:val="center"/>
        <w:rPr>
          <w:rFonts w:ascii="Times New Roman" w:eastAsia="仿宋" w:hAnsi="Times New Roman" w:cs="Times New Roman"/>
          <w:szCs w:val="21"/>
        </w:rPr>
      </w:pPr>
      <w:proofErr w:type="spellStart"/>
      <w:r>
        <w:rPr>
          <w:rFonts w:ascii="Times New Roman" w:eastAsia="仿宋" w:hAnsi="Times New Roman" w:cs="Times New Roman"/>
          <w:szCs w:val="21"/>
        </w:rPr>
        <w:t>Enshen</w:t>
      </w:r>
      <w:proofErr w:type="spellEnd"/>
      <w:r>
        <w:rPr>
          <w:rFonts w:ascii="Times New Roman" w:eastAsia="仿宋" w:hAnsi="Times New Roman" w:cs="Times New Roman"/>
          <w:szCs w:val="21"/>
        </w:rPr>
        <w:t xml:space="preserve"> Long, Sichuan University, China</w:t>
      </w:r>
    </w:p>
    <w:p w14:paraId="378DFC31" w14:textId="77777777" w:rsidR="00FC18C2" w:rsidRDefault="00FC18C2" w:rsidP="00FC18C2">
      <w:pPr>
        <w:spacing w:line="300" w:lineRule="auto"/>
        <w:ind w:firstLine="420"/>
        <w:jc w:val="center"/>
        <w:rPr>
          <w:rFonts w:ascii="仿宋" w:eastAsia="仿宋" w:hAnsi="仿宋"/>
          <w:szCs w:val="21"/>
        </w:rPr>
      </w:pPr>
    </w:p>
    <w:p w14:paraId="5D10A270"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In January 2020, the COVID-19 broke out in Wuhan, China. Wuhan was then sealed off. Public intervention poli</w:t>
      </w:r>
      <w:r>
        <w:rPr>
          <w:rStyle w:val="transsent"/>
          <w:rFonts w:ascii="Times New Roman" w:hAnsi="Times New Roman" w:cs="Times New Roman" w:hint="eastAsia"/>
          <w:szCs w:val="21"/>
        </w:rPr>
        <w:t>ci</w:t>
      </w:r>
      <w:r>
        <w:rPr>
          <w:rStyle w:val="transsent"/>
          <w:rFonts w:ascii="Times New Roman" w:hAnsi="Times New Roman" w:cs="Times New Roman"/>
          <w:szCs w:val="21"/>
        </w:rPr>
        <w:t xml:space="preserve">es including travel restrictions, keeping social distance, wearing masks were published. Most Chinese spent a New Year holiday that is different from the traditional holiday of mass migration and family gatherings. </w:t>
      </w:r>
      <w:r>
        <w:rPr>
          <w:rFonts w:ascii="Times New Roman" w:hAnsi="Times New Roman" w:cs="Times New Roman"/>
          <w:szCs w:val="21"/>
        </w:rPr>
        <w:t>Guidelines issued by the WHO and Chinese authorities on epidemic prevention and control are inconsistent on whether the air spreads viruses, whether windows should open, whether heating should be used, and how long the virus survives on surfaces and how it spreads</w:t>
      </w:r>
      <w:r>
        <w:rPr>
          <w:rStyle w:val="transsent"/>
          <w:rFonts w:ascii="Times New Roman" w:hAnsi="Times New Roman" w:cs="Times New Roman"/>
          <w:szCs w:val="21"/>
        </w:rPr>
        <w:t>. Authoritative experts have different opinions and the public is confused. Like most of my compatriots, my family and even myself who lived in shock and panic, leaving the windows open and the heater off, fighting with the cold to reduce the risk of infection. This long process inspired me to ponder on relevant issues.</w:t>
      </w:r>
    </w:p>
    <w:p w14:paraId="62349D32"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My research team mainly focuses on built environment regulation (HVAC), heat and mass transfer, and building energy efficiency,</w:t>
      </w:r>
      <w:r>
        <w:rPr>
          <w:rFonts w:ascii="Times New Roman" w:hAnsi="Times New Roman" w:cs="Times New Roman"/>
          <w:szCs w:val="21"/>
        </w:rPr>
        <w:t xml:space="preserve"> </w:t>
      </w:r>
      <w:r>
        <w:rPr>
          <w:rStyle w:val="transsent"/>
          <w:rFonts w:ascii="Times New Roman" w:hAnsi="Times New Roman" w:cs="Times New Roman"/>
          <w:szCs w:val="21"/>
        </w:rPr>
        <w:t xml:space="preserve">and has a </w:t>
      </w:r>
      <w:r>
        <w:rPr>
          <w:rFonts w:ascii="Times New Roman" w:hAnsi="Times New Roman" w:cs="Times New Roman"/>
          <w:szCs w:val="21"/>
        </w:rPr>
        <w:t>persistent</w:t>
      </w:r>
      <w:r>
        <w:rPr>
          <w:rStyle w:val="transsent"/>
          <w:rFonts w:ascii="Times New Roman" w:hAnsi="Times New Roman" w:cs="Times New Roman"/>
          <w:szCs w:val="21"/>
        </w:rPr>
        <w:t xml:space="preserve"> research habit and a strong interest in exploring the physical nature of problems. But currently the knowledge on the laws of viral survival and human infection is superficial. The information released by the WHO, government agencies, medical experts and the public media is full of contradictions, indicating that there are still many blind areas in the transmission law of SARS-CoV-2.</w:t>
      </w:r>
      <w:r>
        <w:rPr>
          <w:rStyle w:val="fontstyle01"/>
          <w:rFonts w:ascii="Times New Roman" w:hAnsi="Times New Roman" w:cs="Times New Roman"/>
          <w:szCs w:val="21"/>
        </w:rPr>
        <w:t xml:space="preserve"> </w:t>
      </w:r>
      <w:r>
        <w:rPr>
          <w:rStyle w:val="transsent"/>
          <w:rFonts w:ascii="Times New Roman" w:hAnsi="Times New Roman" w:cs="Times New Roman"/>
          <w:szCs w:val="21"/>
        </w:rPr>
        <w:t>Therefore, our team began to study original papers on viruses and animal infections in search of evidence for medical experiments. Based on the academic background that our team is good at, we will conduct interdisciplinary researches to explore the answers to the questions that have puzzled the public in the process of COVID-19 spread and prevention and control.</w:t>
      </w:r>
    </w:p>
    <w:p w14:paraId="177F6055"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 xml:space="preserve">With the outbreak of COVID-19 in South Korea, Italy, Iran and Spain, and then rapidly </w:t>
      </w:r>
      <w:proofErr w:type="gramStart"/>
      <w:r>
        <w:rPr>
          <w:rStyle w:val="transsent"/>
          <w:rFonts w:ascii="Times New Roman" w:hAnsi="Times New Roman" w:cs="Times New Roman"/>
          <w:szCs w:val="21"/>
        </w:rPr>
        <w:t>spread  in</w:t>
      </w:r>
      <w:proofErr w:type="gramEnd"/>
      <w:r>
        <w:rPr>
          <w:rStyle w:val="transsent"/>
          <w:rFonts w:ascii="Times New Roman" w:hAnsi="Times New Roman" w:cs="Times New Roman"/>
          <w:szCs w:val="21"/>
        </w:rPr>
        <w:t xml:space="preserve"> Russia, the United States, Brazil and other countries around the world, the global challenge of COVID-19 prevention and control has become more prominent. During the outbreak, President Trump in defiance of the virus and refused to wear a mask, which is courageous, but the social and individual costs of harsh isolation are enormous. The WHO is at the center of the allegations. Hundreds of academics have signed up to the WHO to request that air transmission could be listed as a route of transmission. </w:t>
      </w:r>
      <w:r>
        <w:rPr>
          <w:rFonts w:ascii="Times New Roman" w:hAnsi="Times New Roman" w:cs="Times New Roman"/>
          <w:szCs w:val="21"/>
        </w:rPr>
        <w:t>In the face of the same virus, the essence of this multiplicity of views is the inadequacy of human knowledge of respiratory epidemics</w:t>
      </w:r>
      <w:r>
        <w:rPr>
          <w:rStyle w:val="transsent"/>
          <w:rFonts w:ascii="Times New Roman" w:hAnsi="Times New Roman" w:cs="Times New Roman"/>
          <w:szCs w:val="21"/>
        </w:rPr>
        <w:t>. The disciplines of medicine, environmental science and indoor environmental regulation are</w:t>
      </w:r>
      <w:r>
        <w:rPr>
          <w:rFonts w:ascii="Times New Roman" w:hAnsi="Times New Roman" w:cs="Times New Roman"/>
          <w:szCs w:val="21"/>
        </w:rPr>
        <w:t xml:space="preserve"> independent</w:t>
      </w:r>
      <w:r>
        <w:rPr>
          <w:rStyle w:val="transsent"/>
          <w:rFonts w:ascii="Times New Roman" w:hAnsi="Times New Roman" w:cs="Times New Roman"/>
          <w:szCs w:val="21"/>
        </w:rPr>
        <w:t xml:space="preserve">, with rigid barriers and lack of cross integration. </w:t>
      </w:r>
      <w:r>
        <w:rPr>
          <w:rFonts w:ascii="Times New Roman" w:hAnsi="Times New Roman" w:cs="Times New Roman"/>
          <w:szCs w:val="21"/>
        </w:rPr>
        <w:t>It is not surprising that the cognition of various disciplines is transmitted to various media through their own channels, and information is disseminated, and finally emergency public policies and interventions are introduced at the level of public health and social management.</w:t>
      </w:r>
    </w:p>
    <w:p w14:paraId="0C9F5634"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 xml:space="preserve">After reading a large number of original papers from experiments on virus atomization or animal infection, my team found that most of scholars in the medical field published their research </w:t>
      </w:r>
      <w:r>
        <w:rPr>
          <w:rStyle w:val="transsent"/>
          <w:rFonts w:ascii="Times New Roman" w:hAnsi="Times New Roman" w:cs="Times New Roman"/>
          <w:szCs w:val="21"/>
        </w:rPr>
        <w:lastRenderedPageBreak/>
        <w:t>results on virus survival and animal infection in the general term of "aerosol", which is understandable. However, aerosol is a very broad concept. In the field of environmental science and indoor environmental regulation, pollutants with particle size ranging from 0.001 to 100μm in the air are all called aerosols. In fact, the sizes of the droplets and nuclei that an infected person exhales are also in this range, which may be one reason why medical research has been misinterpreted in other interdisciplinary fields. For the public, the size of pollutants in the air is not visible to their naked eyes, and aerosol transmission is the same as air transmission in their perception. The media with the purpose of "sucking eyes" may amplify the risk of communication and cause unnecessary misunderstanding and panic among the public.</w:t>
      </w:r>
    </w:p>
    <w:p w14:paraId="57BABAA4" w14:textId="77777777" w:rsidR="00FC18C2" w:rsidRDefault="00FC18C2" w:rsidP="00FC18C2">
      <w:pPr>
        <w:ind w:firstLine="420"/>
        <w:rPr>
          <w:rFonts w:ascii="Times New Roman" w:eastAsia="仿宋" w:hAnsi="Times New Roman" w:cs="Times New Roman"/>
          <w:szCs w:val="21"/>
        </w:rPr>
      </w:pPr>
      <w:r>
        <w:rPr>
          <w:rFonts w:ascii="Times New Roman" w:hAnsi="Times New Roman" w:cs="Times New Roman"/>
          <w:szCs w:val="21"/>
        </w:rPr>
        <w:t>We found from numerous medical experimental papers on virus persistence that were atomized and surface-titrated by virus suspensions simulating salivary droplets that most of the authors had a clear explanation of the experimental conditions,</w:t>
      </w:r>
      <w:r>
        <w:rPr>
          <w:rStyle w:val="transsent"/>
          <w:rFonts w:ascii="Times New Roman" w:hAnsi="Times New Roman" w:cs="Times New Roman"/>
          <w:szCs w:val="21"/>
        </w:rPr>
        <w:t xml:space="preserve"> such as </w:t>
      </w:r>
      <w:r>
        <w:rPr>
          <w:rFonts w:ascii="Times New Roman" w:hAnsi="Times New Roman" w:cs="Times New Roman"/>
          <w:szCs w:val="21"/>
        </w:rPr>
        <w:t>the initial concentration of viruses in suspension</w:t>
      </w:r>
      <w:r>
        <w:rPr>
          <w:rStyle w:val="transsent"/>
          <w:rFonts w:ascii="Times New Roman" w:hAnsi="Times New Roman" w:cs="Times New Roman"/>
          <w:szCs w:val="21"/>
        </w:rPr>
        <w:t xml:space="preserve"> (10</w:t>
      </w:r>
      <w:r>
        <w:rPr>
          <w:rStyle w:val="transsent"/>
          <w:rFonts w:ascii="Times New Roman" w:hAnsi="Times New Roman" w:cs="Times New Roman"/>
          <w:szCs w:val="21"/>
          <w:vertAlign w:val="superscript"/>
        </w:rPr>
        <w:t>5</w:t>
      </w:r>
      <w:r>
        <w:rPr>
          <w:rStyle w:val="transsent"/>
          <w:rFonts w:ascii="Times New Roman" w:hAnsi="Times New Roman" w:cs="Times New Roman"/>
          <w:szCs w:val="21"/>
        </w:rPr>
        <w:t>~10</w:t>
      </w:r>
      <w:r>
        <w:rPr>
          <w:rStyle w:val="transsent"/>
          <w:rFonts w:ascii="Times New Roman" w:hAnsi="Times New Roman" w:cs="Times New Roman"/>
          <w:szCs w:val="21"/>
          <w:vertAlign w:val="superscript"/>
        </w:rPr>
        <w:t>8</w:t>
      </w:r>
      <w:r>
        <w:rPr>
          <w:rStyle w:val="transsent"/>
          <w:rFonts w:ascii="Times New Roman" w:hAnsi="Times New Roman" w:cs="Times New Roman"/>
          <w:szCs w:val="21"/>
        </w:rPr>
        <w:t xml:space="preserve">Copies/mL, similar to the viral load of the patients' mouth, nose and throat), aerosolized virus fluid accumulation (generally for 5 ~ 50 mL, equivalent to be thousands of times the volume of droplets a patient exhales at a time) and the atomization time (usually 2~5 min), surface titration virus liquid volume (20 to 500μL, equivalent to the volume of 100,000 of 100μm saliva droplets), the concentration of the first sampling, the time node at which the samples were taken, the sampling method and the detection method (whether and how long the samples were incubated). </w:t>
      </w:r>
      <w:r>
        <w:rPr>
          <w:rFonts w:ascii="Times New Roman" w:hAnsi="Times New Roman" w:cs="Times New Roman"/>
          <w:szCs w:val="21"/>
        </w:rPr>
        <w:t>It can be seen that the experimental conditions are relatively typical and extreme. But in the presentation of the results, the emphasis is on how long it would take to detect the presence of active viruses, and downplaying the risk levels of virus concentration changes and infectivity in the air or on the surface at different time points.</w:t>
      </w:r>
      <w:r>
        <w:rPr>
          <w:rStyle w:val="transsent"/>
          <w:rFonts w:ascii="Times New Roman" w:hAnsi="Times New Roman" w:cs="Times New Roman"/>
          <w:szCs w:val="21"/>
        </w:rPr>
        <w:t xml:space="preserve"> Although the expression of these original papers fully conforms to the academic norms of medical papers, they may be misinterpreted for the epidemic prevention and control departments and public administration departments. They may introduce intervention policies that fail to address the main contradiction, and they may be too aggressive in dealing with the dying viruses and not enough in dealing with the real enemy (the viruses with high initial concentration and vigorous vitality)</w:t>
      </w:r>
      <w:r>
        <w:rPr>
          <w:rFonts w:ascii="Times New Roman" w:hAnsi="Times New Roman" w:cs="Times New Roman"/>
          <w:szCs w:val="21"/>
        </w:rPr>
        <w:t>, thus, the opportunity of prevention and control could be missed.</w:t>
      </w:r>
      <w:r>
        <w:rPr>
          <w:rStyle w:val="transsent"/>
          <w:rFonts w:ascii="Times New Roman" w:hAnsi="Times New Roman" w:cs="Times New Roman"/>
          <w:szCs w:val="21"/>
        </w:rPr>
        <w:t xml:space="preserve"> The prevention and control of the epidemic is more of an overall problem at the social management level, which requires the armed thinking of the principal contradiction. Starting from the academic research of a single discipline, it is difficult to achieve the goal of social management, and the information asymmetry and imprecision can lead to the confusion of the public.</w:t>
      </w:r>
    </w:p>
    <w:p w14:paraId="319716CC"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 xml:space="preserve">In addition, 90% of human social activities take place indoors. Most of the transmission of respiratory epidemics also occurs indoors. There are various forms of interior space in the building, such as residences, offices, shopping malls, hospitals, markets, vehicle rooms of transportation tools, airplane cabins, etc., and all of social activities are carried out in them. Because of the climate diversity in different places and the seasonal alternations of the climate in a same place, heating, air conditioning, ventilation, air purification and acoustic and optical environment regulation are essential to meet people's increasing indoor environmental requirements. The complex and changeable indoor environment is a </w:t>
      </w:r>
      <w:proofErr w:type="gramStart"/>
      <w:r>
        <w:rPr>
          <w:rStyle w:val="transsent"/>
          <w:rFonts w:ascii="Times New Roman" w:hAnsi="Times New Roman" w:cs="Times New Roman"/>
          <w:szCs w:val="21"/>
        </w:rPr>
        <w:t>brand new</w:t>
      </w:r>
      <w:proofErr w:type="gramEnd"/>
      <w:r>
        <w:rPr>
          <w:rStyle w:val="transsent"/>
          <w:rFonts w:ascii="Times New Roman" w:hAnsi="Times New Roman" w:cs="Times New Roman"/>
          <w:szCs w:val="21"/>
        </w:rPr>
        <w:t xml:space="preserve"> living environment for the viruses and pathogens released by the infected people to the indoor air or deposited on the surface from the saliva, which is an important external condition affecting the decay and transmission risk of the virus. In this complex and changeable harsh environment, the viruses in salivary nucleus will face more severe challenges after the loss of salivary water, the concentration and crystallization of trace components, and the new equilibrium of particle size.</w:t>
      </w:r>
      <w:r>
        <w:rPr>
          <w:rStyle w:val="transsent"/>
          <w:rFonts w:ascii="Times New Roman" w:hAnsi="Times New Roman" w:cs="Times New Roman" w:hint="eastAsia"/>
          <w:szCs w:val="21"/>
        </w:rPr>
        <w:t xml:space="preserve"> </w:t>
      </w:r>
      <w:r>
        <w:rPr>
          <w:rStyle w:val="transsent"/>
          <w:rFonts w:ascii="Times New Roman" w:hAnsi="Times New Roman" w:cs="Times New Roman"/>
          <w:szCs w:val="21"/>
        </w:rPr>
        <w:t xml:space="preserve">Although some studies have been carried out in the medical </w:t>
      </w:r>
      <w:r>
        <w:rPr>
          <w:rStyle w:val="transsent"/>
          <w:rFonts w:ascii="Times New Roman" w:hAnsi="Times New Roman" w:cs="Times New Roman"/>
          <w:szCs w:val="21"/>
        </w:rPr>
        <w:lastRenderedPageBreak/>
        <w:t>field, due to the limitations of discipline barriers, information transmission amplification and limited knowledge background of exports, the field of building indoor environment regulation (HVAC) usually focuses on the role of ventilation in indoor pollutant (pathogen) concentration dilution and transmission risk reduction based on the accumulated experience of the industry. A series of technical measures such as opening windows for ventilation in winter, opening doors and windows and heating at the same time, running with all fresh air and eliminating air conditioning systems are proposed subjectively. However, these measures may cause the indoor temperature to be too low in winter, and the heating system matching the design conditions will collapse, resulting in a sharp increase in energy consumption. Additionally, they will also affect the thermal comfort of human body and lead to a decrease in immunity. More seriously, low indoor temperature and low or very high relative humidity may increase the persistence and infectivity of viruses. Therefore, the indoor environment regulation methods and technical measures that can grasp the main contradiction are urgently needed to be supported by interdisciplinary medical experiments based on evidence.</w:t>
      </w:r>
    </w:p>
    <w:p w14:paraId="0C525532"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The issues involved in COVID-19 prevention and control are very complex. By comparing the development of COVID-19 in different countries or reviewing the evolution of the epidemic at different stages in the same country, it is not difficult to find that governments of different countries have issued diverse critical emergency response strategies in the face of the same COVID-19 epidemic. As professional prevention and control institutions, policy makers and experts have different understanding on virus transmission, and the emergency intervention policies for public health events are in the opposite direction, therefore, the epidemic prevention in different areas has different effects. If public intervention measures of emergency policy are introduced scientifically, accurately and rapidly, people's health and life safety can be protected and various losses can be significantly reduced. On the contrary, if the emergency preventive measures are biased or not appropriate, it may lead to irreparable loss of life and property.</w:t>
      </w:r>
    </w:p>
    <w:p w14:paraId="4D9B24C6"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 xml:space="preserve">To sum up, although people has accumulated rich knowledge in a single discipline in dealing with COVID-19, there is a lack of interdisciplinary research, especially for the establishment of a comprehensive outlook in the view and methodology of the principal contradiction. </w:t>
      </w:r>
      <w:r>
        <w:rPr>
          <w:rFonts w:ascii="Times New Roman" w:hAnsi="Times New Roman" w:cs="Times New Roman"/>
          <w:szCs w:val="21"/>
        </w:rPr>
        <w:t>The research on the common key issues of "</w:t>
      </w:r>
      <w:proofErr w:type="spellStart"/>
      <w:r>
        <w:rPr>
          <w:rFonts w:ascii="Times New Roman" w:hAnsi="Times New Roman" w:cs="Times New Roman"/>
        </w:rPr>
        <w:t>Environmentology</w:t>
      </w:r>
      <w:proofErr w:type="spellEnd"/>
      <w:r>
        <w:rPr>
          <w:rFonts w:ascii="Times New Roman" w:hAnsi="Times New Roman" w:cs="Times New Roman"/>
          <w:szCs w:val="21"/>
        </w:rPr>
        <w:t xml:space="preserve"> of Virus Survival and Transmission and Strategies of COVID-19 Prevention and Control" carried out by our team has important academic significance and significant social benefits for people to respond to COVID-19 and for other public health emergencies to achieve new interdisciplinary achievements and thinking methods.</w:t>
      </w:r>
    </w:p>
    <w:p w14:paraId="53DE8FF4" w14:textId="77777777" w:rsidR="00FC18C2" w:rsidRDefault="00FC18C2" w:rsidP="00FC18C2">
      <w:pPr>
        <w:ind w:firstLine="420"/>
        <w:rPr>
          <w:rFonts w:ascii="Times New Roman" w:eastAsia="仿宋" w:hAnsi="Times New Roman" w:cs="Times New Roman"/>
          <w:szCs w:val="21"/>
        </w:rPr>
      </w:pPr>
      <w:r>
        <w:rPr>
          <w:rStyle w:val="transsent"/>
          <w:rFonts w:ascii="Times New Roman" w:hAnsi="Times New Roman" w:cs="Times New Roman"/>
          <w:szCs w:val="21"/>
        </w:rPr>
        <w:t xml:space="preserve">Fortunately, with the above questions in mind, our team has made some breakthroughs through continuous research and learning. Eight academic papers have been finished in the first stage, one of which has been accepted by </w:t>
      </w:r>
      <w:r>
        <w:rPr>
          <w:rStyle w:val="transsent"/>
          <w:rFonts w:ascii="Times New Roman" w:hAnsi="Times New Roman" w:cs="Times New Roman"/>
          <w:i/>
          <w:szCs w:val="21"/>
        </w:rPr>
        <w:t>Building and Environment</w:t>
      </w:r>
      <w:r>
        <w:rPr>
          <w:rStyle w:val="transsent"/>
          <w:rFonts w:ascii="Times New Roman" w:hAnsi="Times New Roman" w:cs="Times New Roman"/>
          <w:szCs w:val="21"/>
        </w:rPr>
        <w:t>, and the other seven are in the process of review. In the second stage, seven papers have been basically completed. I hope to have an opportunity to discuss and communicate with colleagues</w:t>
      </w:r>
    </w:p>
    <w:p w14:paraId="1C455D2F" w14:textId="77777777" w:rsidR="00FC18C2" w:rsidRDefault="00FC18C2" w:rsidP="00FC18C2">
      <w:pPr>
        <w:spacing w:line="300" w:lineRule="auto"/>
        <w:ind w:firstLineChars="257" w:firstLine="540"/>
        <w:rPr>
          <w:rFonts w:ascii="Times New Roman" w:eastAsia="仿宋" w:hAnsi="Times New Roman" w:cs="Times New Roman"/>
          <w:szCs w:val="21"/>
        </w:rPr>
      </w:pPr>
    </w:p>
    <w:p w14:paraId="6EEBBFAA" w14:textId="77777777" w:rsidR="001A3641" w:rsidRPr="00FC18C2" w:rsidRDefault="001A3641"/>
    <w:sectPr w:rsidR="001A3641" w:rsidRPr="00FC18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1FE55D" w14:textId="77777777" w:rsidR="00F229DE" w:rsidRDefault="00F229DE" w:rsidP="00FC18C2">
      <w:r>
        <w:separator/>
      </w:r>
    </w:p>
  </w:endnote>
  <w:endnote w:type="continuationSeparator" w:id="0">
    <w:p w14:paraId="1A777CE6" w14:textId="77777777" w:rsidR="00F229DE" w:rsidRDefault="00F229DE" w:rsidP="00FC1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default"/>
  </w:font>
  <w:font w:name="TimesNewRomanPS-BoldMT">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E29874" w14:textId="77777777" w:rsidR="00F229DE" w:rsidRDefault="00F229DE" w:rsidP="00FC18C2">
      <w:r>
        <w:separator/>
      </w:r>
    </w:p>
  </w:footnote>
  <w:footnote w:type="continuationSeparator" w:id="0">
    <w:p w14:paraId="02610433" w14:textId="77777777" w:rsidR="00F229DE" w:rsidRDefault="00F229DE" w:rsidP="00FC18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EAA"/>
    <w:rsid w:val="001A3641"/>
    <w:rsid w:val="00234EAA"/>
    <w:rsid w:val="00F229DE"/>
    <w:rsid w:val="00FC1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E358CB-AAFD-491E-BE9C-2EFC598C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18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18C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C18C2"/>
    <w:rPr>
      <w:sz w:val="18"/>
      <w:szCs w:val="18"/>
    </w:rPr>
  </w:style>
  <w:style w:type="paragraph" w:styleId="a5">
    <w:name w:val="footer"/>
    <w:basedOn w:val="a"/>
    <w:link w:val="a6"/>
    <w:uiPriority w:val="99"/>
    <w:unhideWhenUsed/>
    <w:rsid w:val="00FC18C2"/>
    <w:pPr>
      <w:tabs>
        <w:tab w:val="center" w:pos="4153"/>
        <w:tab w:val="right" w:pos="8306"/>
      </w:tabs>
      <w:snapToGrid w:val="0"/>
      <w:jc w:val="left"/>
    </w:pPr>
    <w:rPr>
      <w:sz w:val="18"/>
      <w:szCs w:val="18"/>
    </w:rPr>
  </w:style>
  <w:style w:type="character" w:customStyle="1" w:styleId="a6">
    <w:name w:val="页脚 字符"/>
    <w:basedOn w:val="a0"/>
    <w:link w:val="a5"/>
    <w:uiPriority w:val="99"/>
    <w:rsid w:val="00FC18C2"/>
    <w:rPr>
      <w:sz w:val="18"/>
      <w:szCs w:val="18"/>
    </w:rPr>
  </w:style>
  <w:style w:type="character" w:customStyle="1" w:styleId="fontstyle01">
    <w:name w:val="fontstyle01"/>
    <w:basedOn w:val="a0"/>
    <w:qFormat/>
    <w:rsid w:val="00FC18C2"/>
    <w:rPr>
      <w:rFonts w:ascii="TimesNewRomanPSMT" w:hAnsi="TimesNewRomanPSMT" w:hint="default"/>
      <w:color w:val="000000"/>
      <w:sz w:val="22"/>
      <w:szCs w:val="22"/>
    </w:rPr>
  </w:style>
  <w:style w:type="character" w:customStyle="1" w:styleId="transsent">
    <w:name w:val="transsent"/>
    <w:basedOn w:val="a0"/>
    <w:qFormat/>
    <w:rsid w:val="00FC18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1648</Words>
  <Characters>9400</Characters>
  <Application>Microsoft Office Word</Application>
  <DocSecurity>0</DocSecurity>
  <Lines>78</Lines>
  <Paragraphs>22</Paragraphs>
  <ScaleCrop>false</ScaleCrop>
  <Company/>
  <LinksUpToDate>false</LinksUpToDate>
  <CharactersWithSpaces>11026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 永红</dc:creator>
  <cp:keywords/>
  <dc:description/>
  <cp:lastModifiedBy>贾 永红</cp:lastModifiedBy>
  <cp:revision>2</cp:revision>
  <dcterms:created xsi:type="dcterms:W3CDTF">2020-11-09T13:17:00Z</dcterms:created>
  <dcterms:modified xsi:type="dcterms:W3CDTF">2020-11-09T13:17:00Z</dcterms:modified>
</cp:coreProperties>
</file>