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70F" w:rsidRPr="003E4DCA" w:rsidRDefault="00D9170F" w:rsidP="00D9170F">
      <w:pPr>
        <w:spacing w:line="480" w:lineRule="auto"/>
        <w:jc w:val="both"/>
        <w:rPr>
          <w:rFonts w:cstheme="minorHAnsi"/>
        </w:rPr>
      </w:pPr>
      <w:r w:rsidRPr="003E4DCA">
        <w:rPr>
          <w:rFonts w:cstheme="minorHAnsi"/>
          <w:b/>
        </w:rPr>
        <w:t>SUPPLEMENTARY</w:t>
      </w:r>
      <w:r w:rsidRPr="003E4DCA">
        <w:rPr>
          <w:rFonts w:cstheme="minorHAnsi"/>
        </w:rPr>
        <w:t xml:space="preserve"> </w:t>
      </w:r>
      <w:r w:rsidRPr="003E4DCA">
        <w:rPr>
          <w:rFonts w:cstheme="minorHAnsi"/>
          <w:b/>
        </w:rPr>
        <w:t>DATA</w:t>
      </w:r>
    </w:p>
    <w:p w:rsidR="00D9170F" w:rsidRPr="003E4DCA" w:rsidRDefault="00D9170F" w:rsidP="00D9170F">
      <w:pPr>
        <w:spacing w:after="100" w:afterAutospacing="1" w:line="480" w:lineRule="auto"/>
        <w:jc w:val="both"/>
        <w:rPr>
          <w:rFonts w:cstheme="minorHAnsi"/>
          <w:b/>
          <w:bCs/>
          <w:i/>
          <w:iCs/>
        </w:rPr>
      </w:pPr>
      <w:r w:rsidRPr="003E4DCA">
        <w:rPr>
          <w:rFonts w:cstheme="minorHAnsi"/>
          <w:b/>
          <w:bCs/>
          <w:i/>
          <w:iCs/>
        </w:rPr>
        <w:t>Voxel-based analysis reflects differences in the distribution of Gd-DOTA across groups.</w:t>
      </w:r>
    </w:p>
    <w:p w:rsidR="00D9170F" w:rsidRPr="003E4DCA" w:rsidRDefault="00D9170F" w:rsidP="00D9170F">
      <w:pPr>
        <w:spacing w:after="100" w:afterAutospacing="1" w:line="480" w:lineRule="auto"/>
        <w:jc w:val="both"/>
        <w:rPr>
          <w:rFonts w:cstheme="minorHAnsi"/>
        </w:rPr>
      </w:pPr>
      <w:r w:rsidRPr="003E4DCA">
        <w:rPr>
          <w:rFonts w:cstheme="minorHAnsi"/>
        </w:rPr>
        <w:t xml:space="preserve">To assess the differences in the spatial distribution of the Gd-DOTA between the CTL and AD groups, voxel-based analysis (VBA) was performed at four time-points after injection (30, 60, 90, 120 min). To this end, a two-sample </w:t>
      </w:r>
      <w:r w:rsidRPr="003E4DCA">
        <w:rPr>
          <w:rFonts w:cstheme="minorHAnsi"/>
          <w:i/>
          <w:iCs/>
        </w:rPr>
        <w:t>t</w:t>
      </w:r>
      <w:r w:rsidRPr="003E4DCA">
        <w:rPr>
          <w:rFonts w:cstheme="minorHAnsi"/>
        </w:rPr>
        <w:t>-test was performed on a voxel-by-voxel basis comparing the percent signal change from baseline across the CTL and AD groups. No statistical significance was observed after multiple comparison correction, but Additional Figure 1 presents uncorrected statistics (</w:t>
      </w:r>
      <w:r w:rsidRPr="003E4DCA">
        <w:rPr>
          <w:rFonts w:cstheme="minorHAnsi"/>
          <w:i/>
        </w:rPr>
        <w:t>p</w:t>
      </w:r>
      <w:r w:rsidRPr="003E4DCA">
        <w:rPr>
          <w:rFonts w:cstheme="minorHAnsi"/>
          <w:iCs/>
        </w:rPr>
        <w:t xml:space="preserve">&lt;0.05, uncorrected) that indicate a general agreement with our ROI-based and cluster-based analyses. Specifically, percent signal change was higher in the AD group in areas nearby the injection cite (pons, medulla; orange/yellow) as also observed in other analyses. In addition, VBA revealed signal decreases in AD relative to CTL in caudal areas close to the superior sagittal and transverse sinuses (blue) but note that signal intensity in those areas was low and within the variability observed in the non-injected groups and thus it is difficult to make robust conclusions. </w:t>
      </w:r>
    </w:p>
    <w:p w:rsidR="00D9170F" w:rsidRPr="003E4DCA" w:rsidRDefault="00D9170F" w:rsidP="00D9170F">
      <w:pPr>
        <w:spacing w:after="60"/>
        <w:jc w:val="both"/>
        <w:rPr>
          <w:rFonts w:cstheme="minorHAnsi"/>
          <w:iCs/>
        </w:rPr>
      </w:pPr>
      <w:r w:rsidRPr="003E4DCA">
        <w:rPr>
          <w:rFonts w:cstheme="minorHAnsi"/>
          <w:b/>
          <w:iCs/>
          <w:noProof/>
        </w:rPr>
        <w:drawing>
          <wp:inline distT="0" distB="0" distL="0" distR="0" wp14:anchorId="17FADBFD" wp14:editId="0DD64351">
            <wp:extent cx="5756910" cy="1078151"/>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4">
                      <a:extLst>
                        <a:ext uri="{28A0092B-C50C-407E-A947-70E740481C1C}">
                          <a14:useLocalDpi xmlns:a14="http://schemas.microsoft.com/office/drawing/2010/main" val="0"/>
                        </a:ext>
                      </a:extLst>
                    </a:blip>
                    <a:stretch>
                      <a:fillRect/>
                    </a:stretch>
                  </pic:blipFill>
                  <pic:spPr>
                    <a:xfrm>
                      <a:off x="0" y="0"/>
                      <a:ext cx="5756910" cy="1078151"/>
                    </a:xfrm>
                    <a:prstGeom prst="rect">
                      <a:avLst/>
                    </a:prstGeom>
                  </pic:spPr>
                </pic:pic>
              </a:graphicData>
            </a:graphic>
          </wp:inline>
        </w:drawing>
      </w:r>
    </w:p>
    <w:p w:rsidR="00D9170F" w:rsidRPr="007D0BBF" w:rsidRDefault="00D9170F" w:rsidP="00D9170F">
      <w:pPr>
        <w:spacing w:after="60"/>
        <w:jc w:val="both"/>
        <w:rPr>
          <w:rFonts w:cstheme="minorHAnsi"/>
          <w:i/>
          <w:iCs/>
          <w:sz w:val="20"/>
          <w:szCs w:val="20"/>
        </w:rPr>
      </w:pPr>
      <w:r w:rsidRPr="007D0BBF">
        <w:rPr>
          <w:rFonts w:cstheme="minorHAnsi"/>
          <w:b/>
          <w:bCs/>
          <w:i/>
          <w:iCs/>
          <w:sz w:val="20"/>
          <w:szCs w:val="20"/>
        </w:rPr>
        <w:t xml:space="preserve">Additional Figure 1. Voxel-based analysis (VBA). </w:t>
      </w:r>
      <w:r w:rsidRPr="007D0BBF">
        <w:rPr>
          <w:rFonts w:cstheme="minorHAnsi"/>
          <w:i/>
          <w:iCs/>
          <w:sz w:val="20"/>
          <w:szCs w:val="20"/>
        </w:rPr>
        <w:t>The signal intensity of CTL and AD mice were compared at four time-points after injection (30, 60, 90, 120 min).</w:t>
      </w:r>
      <w:r w:rsidRPr="007D0BBF">
        <w:rPr>
          <w:rFonts w:cstheme="minorHAnsi"/>
          <w:b/>
          <w:bCs/>
          <w:i/>
          <w:iCs/>
          <w:sz w:val="20"/>
          <w:szCs w:val="20"/>
        </w:rPr>
        <w:t xml:space="preserve"> </w:t>
      </w:r>
      <w:r w:rsidRPr="007D0BBF">
        <w:rPr>
          <w:rFonts w:cstheme="minorHAnsi"/>
          <w:i/>
          <w:iCs/>
          <w:sz w:val="20"/>
          <w:szCs w:val="20"/>
        </w:rPr>
        <w:t xml:space="preserve">The AD group demonstrated stronger signal intensity in regions adjacent to the infusion spot (orange/yellow) in all time points and decreased signal intensity in areas proximal to the superior sagittal and transverse sinuses (blue). </w:t>
      </w:r>
      <w:r w:rsidRPr="007D0BBF">
        <w:rPr>
          <w:rFonts w:cstheme="minorHAnsi"/>
          <w:i/>
          <w:sz w:val="20"/>
          <w:szCs w:val="20"/>
        </w:rPr>
        <w:t>The colour scales indicate T-statistic values, with orange/yellow representing the voxels significantly higher in the AD group and blue/cyan representing the voxels significantly higher in the CTL group (p&lt;0.05, uncorrected).</w:t>
      </w:r>
    </w:p>
    <w:p w:rsidR="00000F57" w:rsidRDefault="00D9170F">
      <w:bookmarkStart w:id="0" w:name="_GoBack"/>
      <w:bookmarkEnd w:id="0"/>
    </w:p>
    <w:sectPr w:rsidR="00000F57" w:rsidSect="00E24EA3">
      <w:pgSz w:w="11900" w:h="16840"/>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70F"/>
    <w:rsid w:val="0007695B"/>
    <w:rsid w:val="005615C6"/>
    <w:rsid w:val="005E078B"/>
    <w:rsid w:val="007D4061"/>
    <w:rsid w:val="008B4EED"/>
    <w:rsid w:val="00B03778"/>
    <w:rsid w:val="00CD1A17"/>
    <w:rsid w:val="00D9170F"/>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338821-E726-4F5A-8BB3-719F8E33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91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1532</Characters>
  <Application>Microsoft Office Word</Application>
  <DocSecurity>0</DocSecurity>
  <Lines>12</Lines>
  <Paragraphs>3</Paragraphs>
  <ScaleCrop>false</ScaleCrop>
  <Company>Springer Nature IT</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2022-08-10T05:45:00Z</dcterms:created>
  <dcterms:modified xsi:type="dcterms:W3CDTF">2022-08-10T05:45:00Z</dcterms:modified>
</cp:coreProperties>
</file>