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3148C" w14:textId="77777777" w:rsidR="0067423A" w:rsidRDefault="0067423A" w:rsidP="0067423A">
      <w:pPr>
        <w:rPr>
          <w:rFonts w:ascii="Times New Roman" w:hAnsi="Times New Roman"/>
          <w:b/>
          <w:bCs/>
        </w:rPr>
      </w:pPr>
      <w:bookmarkStart w:id="0" w:name="_GoBack"/>
      <w:bookmarkEnd w:id="0"/>
      <w:r>
        <w:rPr>
          <w:rFonts w:ascii="Times New Roman" w:hAnsi="Times New Roman"/>
          <w:b/>
          <w:bCs/>
        </w:rPr>
        <w:t>Study protocol:</w:t>
      </w:r>
    </w:p>
    <w:p w14:paraId="45C7FF26" w14:textId="77777777" w:rsidR="0067423A" w:rsidRDefault="0067423A" w:rsidP="0067423A">
      <w:pPr>
        <w:rPr>
          <w:rFonts w:ascii="Times New Roman" w:hAnsi="Times New Roman"/>
          <w:b/>
          <w:bCs/>
        </w:rPr>
      </w:pPr>
      <w:r>
        <w:rPr>
          <w:rFonts w:ascii="Times New Roman" w:hAnsi="Times New Roman"/>
          <w:b/>
          <w:bCs/>
        </w:rPr>
        <w:t xml:space="preserve">1. Participants </w:t>
      </w:r>
    </w:p>
    <w:p w14:paraId="249428CD" w14:textId="77777777" w:rsidR="0067423A" w:rsidRDefault="0067423A" w:rsidP="0067423A">
      <w:pPr>
        <w:rPr>
          <w:rFonts w:ascii="Times New Roman" w:hAnsi="Times New Roman"/>
        </w:rPr>
      </w:pPr>
      <w:r>
        <w:rPr>
          <w:rFonts w:ascii="Times New Roman" w:hAnsi="Times New Roman"/>
        </w:rPr>
        <w:t xml:space="preserve">(1) Sample size: 120 patients. The results of pretest study indicate that the average scores of the two groups were 26 and 38, respectively, with the standard deviation 19. Setting the α as 0.05 (both sides) and </w:t>
      </w:r>
      <w:bookmarkStart w:id="1" w:name="OLE_LINK33"/>
      <w:bookmarkStart w:id="2" w:name="OLE_LINK32"/>
      <w:bookmarkStart w:id="3" w:name="OLE_LINK31"/>
      <w:r>
        <w:rPr>
          <w:rFonts w:ascii="Times New Roman" w:hAnsi="Times New Roman"/>
        </w:rPr>
        <w:t>β</w:t>
      </w:r>
      <w:bookmarkEnd w:id="1"/>
      <w:bookmarkEnd w:id="2"/>
      <w:bookmarkEnd w:id="3"/>
      <w:r>
        <w:rPr>
          <w:rFonts w:ascii="Times New Roman" w:hAnsi="Times New Roman"/>
        </w:rPr>
        <w:t xml:space="preserve"> as 0.1. The required sample number needs to be calculated by the sample content estimation formula. Since α = 0.05 (both sides), β = 0.1, δ = 38-26 = 12, S = 19, tα/2=1.960, tβ=1.282. </w:t>
      </w:r>
    </w:p>
    <w:p w14:paraId="62EE0BB3" w14:textId="25B01706" w:rsidR="0067423A" w:rsidRDefault="0067423A" w:rsidP="0067423A">
      <w:pPr>
        <w:rPr>
          <w:rFonts w:ascii="Times New Roman" w:hAnsi="Times New Roman"/>
        </w:rPr>
      </w:pPr>
      <w:r>
        <w:rPr>
          <w:rFonts w:ascii="Times New Roman" w:hAnsi="Times New Roman"/>
          <w:noProof/>
        </w:rPr>
        <w:drawing>
          <wp:inline distT="0" distB="0" distL="0" distR="0" wp14:anchorId="78AE2C8C" wp14:editId="57063F1D">
            <wp:extent cx="1200150" cy="4000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150" cy="400050"/>
                    </a:xfrm>
                    <a:prstGeom prst="rect">
                      <a:avLst/>
                    </a:prstGeom>
                    <a:noFill/>
                    <a:ln>
                      <a:noFill/>
                    </a:ln>
                  </pic:spPr>
                </pic:pic>
              </a:graphicData>
            </a:graphic>
          </wp:inline>
        </w:drawing>
      </w:r>
    </w:p>
    <w:p w14:paraId="6143B9F4" w14:textId="77777777" w:rsidR="0067423A" w:rsidRDefault="0067423A" w:rsidP="0067423A">
      <w:pPr>
        <w:rPr>
          <w:rFonts w:ascii="Times New Roman" w:hAnsi="Times New Roman"/>
        </w:rPr>
      </w:pPr>
      <w:r>
        <w:rPr>
          <w:rFonts w:ascii="Times New Roman" w:hAnsi="Times New Roman"/>
        </w:rPr>
        <w:t>Then the calculated sample number is 105. By stetting the dropout rate as 10%, so the sample number of each group is about 60, which leads to the total of 120 cases in the two groups.</w:t>
      </w:r>
    </w:p>
    <w:p w14:paraId="7E419D01" w14:textId="77777777" w:rsidR="0067423A" w:rsidRDefault="0067423A" w:rsidP="0067423A">
      <w:pPr>
        <w:rPr>
          <w:rFonts w:ascii="Times New Roman" w:hAnsi="Times New Roman"/>
        </w:rPr>
      </w:pPr>
      <w:r>
        <w:rPr>
          <w:rFonts w:ascii="Times New Roman" w:hAnsi="Times New Roman"/>
        </w:rPr>
        <w:t xml:space="preserve">(2) Inclusion criteria: </w:t>
      </w:r>
      <w:r>
        <w:rPr>
          <w:rFonts w:ascii="宋体" w:eastAsia="宋体" w:hAnsi="宋体" w:cs="宋体" w:hint="eastAsia"/>
        </w:rPr>
        <w:t>①</w:t>
      </w:r>
      <w:r>
        <w:rPr>
          <w:rFonts w:ascii="Times New Roman" w:hAnsi="Times New Roman"/>
        </w:rPr>
        <w:t xml:space="preserve"> patients voluntarily agreed to participate in the study; </w:t>
      </w:r>
      <w:r>
        <w:rPr>
          <w:rFonts w:ascii="宋体" w:eastAsia="宋体" w:hAnsi="宋体" w:cs="宋体" w:hint="eastAsia"/>
        </w:rPr>
        <w:t>②</w:t>
      </w:r>
      <w:r>
        <w:rPr>
          <w:rFonts w:ascii="Times New Roman" w:hAnsi="Times New Roman"/>
        </w:rPr>
        <w:t xml:space="preserve"> Age 18 to 65 years; </w:t>
      </w:r>
      <w:r>
        <w:rPr>
          <w:rFonts w:ascii="宋体" w:eastAsia="宋体" w:hAnsi="宋体" w:cs="宋体" w:hint="eastAsia"/>
        </w:rPr>
        <w:t>③</w:t>
      </w:r>
      <w:r>
        <w:rPr>
          <w:rFonts w:ascii="Times New Roman" w:hAnsi="Times New Roman"/>
        </w:rPr>
        <w:t xml:space="preserve"> ASA grade I to II; </w:t>
      </w:r>
      <w:r>
        <w:rPr>
          <w:rFonts w:ascii="宋体" w:eastAsia="宋体" w:hAnsi="宋体" w:cs="宋体" w:hint="eastAsia"/>
        </w:rPr>
        <w:t>④</w:t>
      </w:r>
      <w:r>
        <w:rPr>
          <w:rFonts w:ascii="Times New Roman" w:hAnsi="Times New Roman"/>
        </w:rPr>
        <w:t xml:space="preserve"> Patients undergoing shoulder arthroscopy.</w:t>
      </w:r>
    </w:p>
    <w:p w14:paraId="363127A0" w14:textId="77777777" w:rsidR="0067423A" w:rsidRDefault="0067423A" w:rsidP="0067423A">
      <w:pPr>
        <w:rPr>
          <w:rFonts w:ascii="Times New Roman" w:hAnsi="Times New Roman"/>
        </w:rPr>
      </w:pPr>
      <w:r>
        <w:rPr>
          <w:rFonts w:ascii="Times New Roman" w:hAnsi="Times New Roman"/>
        </w:rPr>
        <w:t>(3) Exclusion criteria: patients with mental illness, a history of craniocerebral surgery, coagulation dysfunction, or with a pacemaker, diabetes mellitus with peripheral neuropathy; body mass index&gt; 30kg / m2; patients with communication impairment, and those who are participating in other clinical trials.</w:t>
      </w:r>
    </w:p>
    <w:p w14:paraId="16C9ED22" w14:textId="77777777" w:rsidR="0067423A" w:rsidRDefault="0067423A" w:rsidP="0067423A">
      <w:pPr>
        <w:rPr>
          <w:rFonts w:ascii="Times New Roman" w:hAnsi="Times New Roman"/>
        </w:rPr>
      </w:pPr>
      <w:r>
        <w:rPr>
          <w:rFonts w:ascii="Times New Roman" w:hAnsi="Times New Roman"/>
        </w:rPr>
        <w:t>(4) Withdrawal criteria: Patients with inhalation anesthetic intraoperative, or surgery time less than 1 hour, and those with ineffective brachial plexus block.</w:t>
      </w:r>
    </w:p>
    <w:p w14:paraId="5B9AFA2E" w14:textId="77777777" w:rsidR="0067423A" w:rsidRDefault="0067423A" w:rsidP="0067423A">
      <w:pPr>
        <w:rPr>
          <w:rFonts w:ascii="Times New Roman" w:hAnsi="Times New Roman"/>
        </w:rPr>
      </w:pPr>
    </w:p>
    <w:p w14:paraId="637CA5D4" w14:textId="77777777" w:rsidR="0067423A" w:rsidRDefault="0067423A" w:rsidP="0067423A">
      <w:pPr>
        <w:rPr>
          <w:rFonts w:ascii="Times New Roman" w:hAnsi="Times New Roman"/>
          <w:b/>
          <w:bCs/>
        </w:rPr>
      </w:pPr>
      <w:r>
        <w:rPr>
          <w:rFonts w:ascii="Times New Roman" w:hAnsi="Times New Roman"/>
          <w:b/>
          <w:bCs/>
        </w:rPr>
        <w:t>2. Methods</w:t>
      </w:r>
    </w:p>
    <w:p w14:paraId="3FF29E2B" w14:textId="77777777" w:rsidR="0067423A" w:rsidRDefault="0067423A" w:rsidP="0067423A">
      <w:pPr>
        <w:rPr>
          <w:rFonts w:ascii="Times New Roman" w:hAnsi="Times New Roman"/>
        </w:rPr>
      </w:pPr>
      <w:r>
        <w:rPr>
          <w:rFonts w:ascii="Times New Roman" w:hAnsi="Times New Roman"/>
        </w:rPr>
        <w:t>(1) Grouping: 120 patients will be randomly divided into two groups using the computer random number, namely the open-loop group and the closed-loop group, with 60 patients in each group. Patients will be numbered in chronological order from 1 to 120, grouped according to random numbers from 1 to 120, 1 to 60 for open-loop groups and 61 to 120 for closed-loop groups.</w:t>
      </w:r>
    </w:p>
    <w:p w14:paraId="59AA9D87" w14:textId="77777777" w:rsidR="0067423A" w:rsidRDefault="0067423A" w:rsidP="0067423A">
      <w:pPr>
        <w:rPr>
          <w:rFonts w:ascii="Times New Roman" w:hAnsi="Times New Roman"/>
        </w:rPr>
      </w:pPr>
      <w:r>
        <w:rPr>
          <w:rFonts w:ascii="Times New Roman" w:hAnsi="Times New Roman"/>
        </w:rPr>
        <w:t>(2) Methods:</w:t>
      </w:r>
    </w:p>
    <w:p w14:paraId="016A2FF2" w14:textId="77777777" w:rsidR="0067423A" w:rsidRDefault="0067423A" w:rsidP="0067423A">
      <w:pPr>
        <w:rPr>
          <w:rFonts w:ascii="Times New Roman" w:hAnsi="Times New Roman"/>
        </w:rPr>
      </w:pPr>
      <w:r>
        <w:rPr>
          <w:rFonts w:ascii="Times New Roman" w:hAnsi="Times New Roman"/>
        </w:rPr>
        <w:t xml:space="preserve">All patients will be fasted for 8 hours without any preoperative medicine. After entering the operation room, patients will be performed routinely monitor, include non-invasive blood pressure (NIBP), heart rate (HR), electrocardiogram (ECG), and pulse oxygen saturation (SpO2). Before the invasive operation, each one will treat with 3-5μg of </w:t>
      </w:r>
      <w:proofErr w:type="spellStart"/>
      <w:r>
        <w:rPr>
          <w:rFonts w:ascii="Times New Roman" w:hAnsi="Times New Roman"/>
        </w:rPr>
        <w:t>sufentanil</w:t>
      </w:r>
      <w:proofErr w:type="spellEnd"/>
      <w:r>
        <w:rPr>
          <w:rFonts w:ascii="Times New Roman" w:hAnsi="Times New Roman"/>
        </w:rPr>
        <w:t xml:space="preserve"> intravenously according to the weight of the patient. The Allen test will be performed on the contralateral hand of the patient. After sterilization and local anesthesia, the Allen test positive patients will be punctured using a 22G arterial puncture needle to monitor continuous arterial pressure (IBP), and the </w:t>
      </w:r>
      <w:proofErr w:type="spellStart"/>
      <w:r>
        <w:rPr>
          <w:rFonts w:ascii="Times New Roman" w:hAnsi="Times New Roman"/>
        </w:rPr>
        <w:t>FloTrac</w:t>
      </w:r>
      <w:proofErr w:type="spellEnd"/>
      <w:r>
        <w:rPr>
          <w:rFonts w:ascii="Times New Roman" w:hAnsi="Times New Roman"/>
        </w:rPr>
        <w:t xml:space="preserve"> / </w:t>
      </w:r>
      <w:proofErr w:type="spellStart"/>
      <w:r>
        <w:rPr>
          <w:rFonts w:ascii="Times New Roman" w:hAnsi="Times New Roman"/>
        </w:rPr>
        <w:t>Vigileo</w:t>
      </w:r>
      <w:proofErr w:type="spellEnd"/>
      <w:r>
        <w:rPr>
          <w:rFonts w:ascii="Times New Roman" w:hAnsi="Times New Roman"/>
        </w:rPr>
        <w:t xml:space="preserve"> system will be connected to monitor the stroke volume variability (SVV). Ultrasound-guided interscalene brachial plexus block will then be performed. For the ultrasound-guided nerve block, a 10MHz high-frequency probe will be used, with focal depth 2 to 3cm, a 22G puncture needle and 20ml 0.5% ropivacaine. With short-axis in-plane technology, drugs need to be injected around the nerves to make a unique "Donut sign". After 30 minutes, the patient's sensing block will be evaluated by stabbing the deltoid and biceps: Complete block (the tingling disappears), partial block (decreased tingling), and without block (normal tingling). Partial block or incomplete block will be withdrawn from the experiment. </w:t>
      </w:r>
    </w:p>
    <w:p w14:paraId="61BDF99B" w14:textId="77777777" w:rsidR="0067423A" w:rsidRDefault="0067423A" w:rsidP="0067423A">
      <w:pPr>
        <w:rPr>
          <w:rFonts w:ascii="Times New Roman" w:hAnsi="Times New Roman"/>
        </w:rPr>
      </w:pPr>
      <w:r>
        <w:rPr>
          <w:rFonts w:ascii="Times New Roman" w:hAnsi="Times New Roman"/>
        </w:rPr>
        <w:t xml:space="preserve">Then, wipe the forehead skin of the patients with alcohol to remove dead skin and grease. Strictly follow the protocol of the BIS electrode to attach each electrode to the patient's forehead, and press the edge of each electrode to fit the skin completely. Connect the line to the </w:t>
      </w:r>
      <w:bookmarkStart w:id="4" w:name="OLE_LINK18"/>
      <w:proofErr w:type="spellStart"/>
      <w:r>
        <w:rPr>
          <w:rFonts w:ascii="Times New Roman" w:hAnsi="Times New Roman"/>
        </w:rPr>
        <w:t>slgo</w:t>
      </w:r>
      <w:proofErr w:type="spellEnd"/>
      <w:r>
        <w:rPr>
          <w:rFonts w:ascii="Times New Roman" w:hAnsi="Times New Roman"/>
        </w:rPr>
        <w:t xml:space="preserve"> BCP-100 TCI </w:t>
      </w:r>
      <w:r>
        <w:rPr>
          <w:rFonts w:ascii="Times New Roman" w:hAnsi="Times New Roman"/>
        </w:rPr>
        <w:lastRenderedPageBreak/>
        <w:t>pump</w:t>
      </w:r>
      <w:bookmarkEnd w:id="4"/>
      <w:r>
        <w:rPr>
          <w:rFonts w:ascii="Times New Roman" w:hAnsi="Times New Roman"/>
        </w:rPr>
        <w:t xml:space="preserve"> and record the patient's basic BIS value. </w:t>
      </w:r>
    </w:p>
    <w:p w14:paraId="501D8CF8" w14:textId="77777777" w:rsidR="0067423A" w:rsidRDefault="0067423A" w:rsidP="0067423A">
      <w:pPr>
        <w:rPr>
          <w:rFonts w:ascii="Times New Roman" w:hAnsi="Times New Roman"/>
        </w:rPr>
      </w:pPr>
      <w:r>
        <w:rPr>
          <w:rFonts w:ascii="Times New Roman" w:hAnsi="Times New Roman"/>
        </w:rPr>
        <w:t xml:space="preserve">Setting </w:t>
      </w:r>
      <w:proofErr w:type="spellStart"/>
      <w:r>
        <w:rPr>
          <w:rFonts w:ascii="Times New Roman" w:hAnsi="Times New Roman"/>
        </w:rPr>
        <w:t>slgo</w:t>
      </w:r>
      <w:proofErr w:type="spellEnd"/>
      <w:r>
        <w:rPr>
          <w:rFonts w:ascii="Times New Roman" w:hAnsi="Times New Roman"/>
        </w:rPr>
        <w:t xml:space="preserve"> BCP-100 TCI pump parameters, entering the patient's age, gender, height and weight and setting the initial plasma target concentration of propofol. After pre-oxygenation, anesthesia induction will be started by infusing the propofol and remifentanil together. Rocuronium will be given after consciousness disappears, and then tracheal intubation will be performed after the muscle relaxant is effective. Then, continuous positive pressure ventilation will be performed with a tidal volume of 8ml / kg and an inhaled oxygen concentration of 70%, and the respiratory parameters will be   adjusted to maintain the end-tidal CO2 partial pressure at 35 ~ 45mmHg. Propofol and remifentanil will be used to maintain anesthesia intraoperative.</w:t>
      </w:r>
    </w:p>
    <w:p w14:paraId="18B5ED59" w14:textId="77777777" w:rsidR="0067423A" w:rsidRDefault="0067423A" w:rsidP="0067423A">
      <w:pPr>
        <w:rPr>
          <w:rFonts w:ascii="Times New Roman" w:hAnsi="Times New Roman"/>
        </w:rPr>
      </w:pPr>
      <w:r>
        <w:rPr>
          <w:rFonts w:ascii="Times New Roman" w:hAnsi="Times New Roman"/>
        </w:rPr>
        <w:t xml:space="preserve">Adjust the patient's position to the beach chair position for surgery. The intraoperative liquid will be injected with the target control volume. When SVV&gt; 13%, accelerate fluid transfusion to make SVV &lt;13%. The intraoperative blood pressure will be controlled within 30% of the basal value. When the blood pressure is below 30% of the basal value, phenylephrine will be used. When blood pressure is higher than 30% of the basal value, or bleeding affects the surgical field, </w:t>
      </w:r>
      <w:proofErr w:type="spellStart"/>
      <w:r>
        <w:rPr>
          <w:rFonts w:ascii="Times New Roman" w:hAnsi="Times New Roman"/>
        </w:rPr>
        <w:t>uradil</w:t>
      </w:r>
      <w:proofErr w:type="spellEnd"/>
      <w:r>
        <w:rPr>
          <w:rFonts w:ascii="Times New Roman" w:hAnsi="Times New Roman"/>
        </w:rPr>
        <w:t xml:space="preserve"> and nitroglycerin is needed. 5μg of </w:t>
      </w:r>
      <w:proofErr w:type="spellStart"/>
      <w:r>
        <w:rPr>
          <w:rFonts w:ascii="Times New Roman" w:hAnsi="Times New Roman"/>
        </w:rPr>
        <w:t>sufentanil</w:t>
      </w:r>
      <w:proofErr w:type="spellEnd"/>
      <w:r>
        <w:rPr>
          <w:rFonts w:ascii="Times New Roman" w:hAnsi="Times New Roman"/>
        </w:rPr>
        <w:t xml:space="preserve"> will be administered 10 minutes before the end of the surgery for postoperative analgesia. The infusion of propofol and remifentanil will be stopped when the last stitching is finished. After adjusting to the supine position, clean the patient’s secretions in the mouth and trachea. When the patient breath spontaneously, which makes blood oxygen saturation greater than 95%, and can cooperate with the anesthesiologist, </w:t>
      </w:r>
      <w:proofErr w:type="spellStart"/>
      <w:r>
        <w:rPr>
          <w:rFonts w:ascii="Times New Roman" w:hAnsi="Times New Roman"/>
        </w:rPr>
        <w:t>extubation</w:t>
      </w:r>
      <w:proofErr w:type="spellEnd"/>
      <w:r>
        <w:rPr>
          <w:rFonts w:ascii="Times New Roman" w:hAnsi="Times New Roman"/>
        </w:rPr>
        <w:t xml:space="preserve"> will be performed. The patient will be transferred to the post-anesthesia care unit. Follow-up is needed to evaluate the analgesic effect and the Mini Mental State Examination (MMSE). Each patient will be drawn 5ml of venous blood at these times, include entering the operation room, entering the post-anesthesia care unit, and the day after surgery. The blood samples will be placed in a drying tube for 30 minutes, and then centrifuged at 2000 rpm for 15 minutes, and the supernatant will be stored in a -80 ° C refrigerator to measure the content of GFAP and S100β protein. </w:t>
      </w:r>
    </w:p>
    <w:p w14:paraId="165F2E59" w14:textId="77777777" w:rsidR="0067423A" w:rsidRDefault="0067423A" w:rsidP="0067423A">
      <w:pPr>
        <w:rPr>
          <w:rFonts w:ascii="Times New Roman" w:hAnsi="Times New Roman"/>
          <w:b/>
          <w:bCs/>
        </w:rPr>
      </w:pPr>
      <w:r>
        <w:rPr>
          <w:rFonts w:ascii="Times New Roman" w:hAnsi="Times New Roman"/>
          <w:b/>
          <w:bCs/>
        </w:rPr>
        <w:t>3.Intervention</w:t>
      </w:r>
    </w:p>
    <w:p w14:paraId="5C81DCF4" w14:textId="77777777" w:rsidR="0067423A" w:rsidRDefault="0067423A" w:rsidP="0067423A">
      <w:pPr>
        <w:rPr>
          <w:rFonts w:ascii="Times New Roman" w:hAnsi="Times New Roman"/>
        </w:rPr>
      </w:pPr>
      <w:r>
        <w:rPr>
          <w:rFonts w:ascii="Times New Roman" w:hAnsi="Times New Roman"/>
        </w:rPr>
        <w:t>The Marsh pharmacokinetic model (</w:t>
      </w:r>
      <w:proofErr w:type="spellStart"/>
      <w:r>
        <w:rPr>
          <w:rFonts w:ascii="Times New Roman" w:hAnsi="Times New Roman"/>
        </w:rPr>
        <w:t>Keo</w:t>
      </w:r>
      <w:proofErr w:type="spellEnd"/>
      <w:r>
        <w:rPr>
          <w:rFonts w:ascii="Times New Roman" w:hAnsi="Times New Roman"/>
        </w:rPr>
        <w:t xml:space="preserve"> = 0.26 / min) is used for the Propofol TCI. Select the target mode of plasma concentration during anesthesia. The Minto pharmacokinetic model is used for remifentanil. The target control mode of the effect-side concentration is selected during anesthesia.</w:t>
      </w:r>
    </w:p>
    <w:p w14:paraId="7D06678F" w14:textId="77777777" w:rsidR="0067423A" w:rsidRDefault="0067423A" w:rsidP="0067423A">
      <w:pPr>
        <w:rPr>
          <w:rFonts w:ascii="Times New Roman" w:hAnsi="Times New Roman"/>
        </w:rPr>
      </w:pPr>
      <w:r>
        <w:rPr>
          <w:rFonts w:ascii="Times New Roman" w:hAnsi="Times New Roman"/>
        </w:rPr>
        <w:t>The anesthesia phase is divided into induction phase and maintenance phase. The induction phase is the period from infusion of propofol to the BIS value drops below 60 and lasts 30 seconds. The maintenance phase is the period from the end of induction to the termination of propofol and remifentanil infusion.</w:t>
      </w:r>
    </w:p>
    <w:p w14:paraId="79BFE0DE" w14:textId="77777777" w:rsidR="0067423A" w:rsidRDefault="0067423A" w:rsidP="0067423A">
      <w:pPr>
        <w:rPr>
          <w:rFonts w:ascii="Times New Roman" w:hAnsi="Times New Roman"/>
        </w:rPr>
      </w:pPr>
      <w:r>
        <w:rPr>
          <w:rFonts w:ascii="Times New Roman" w:hAnsi="Times New Roman"/>
        </w:rPr>
        <w:t xml:space="preserve">Target plasma concentration of propofol is 4 </w:t>
      </w:r>
      <w:proofErr w:type="spellStart"/>
      <w:r>
        <w:rPr>
          <w:rFonts w:ascii="Times New Roman" w:hAnsi="Times New Roman"/>
        </w:rPr>
        <w:t>μg</w:t>
      </w:r>
      <w:proofErr w:type="spellEnd"/>
      <w:r>
        <w:rPr>
          <w:rFonts w:ascii="Times New Roman" w:hAnsi="Times New Roman"/>
        </w:rPr>
        <w:t xml:space="preserve"> / ml. When the BIS value drops below 60 and maintained for 30 seconds, anesthesia enters the maintenance phase. Then the propofol will be infused by closed-loop target controlled infusion system in the closed-loop group, or continue to be adjusted manually in the open-loop group. Infusion of remifentanil will be started immediately after induction of anesthesia, and the initial effect-side concentration is 4ng / ml. After the consciousness disappear, 0.6 mg / kg rocuronium will be injected intravenously.</w:t>
      </w:r>
    </w:p>
    <w:p w14:paraId="512291AB" w14:textId="77777777" w:rsidR="0067423A" w:rsidRDefault="0067423A" w:rsidP="0067423A">
      <w:pPr>
        <w:rPr>
          <w:rFonts w:ascii="Times New Roman" w:hAnsi="Times New Roman"/>
        </w:rPr>
      </w:pPr>
      <w:r>
        <w:rPr>
          <w:rFonts w:ascii="Times New Roman" w:hAnsi="Times New Roman"/>
        </w:rPr>
        <w:t xml:space="preserve">During the maintenance phase, the BIS value needs to be maintained in the range of 40 ~ 60. Both groups of remifentanil are manually adjusted. When the stimulation is large (such as cutting skin), gradually increase the effect-side concentration of remifentanil in advance, the adjustment range is 4-6 ng / ml; but when the stimulation is small, it is maintained at 2 ~ 4 ng / ml, and the adjustment range is 0.2 ng / ml. The propofol in closed-loop group is automatically adjusted by closed-loop </w:t>
      </w:r>
      <w:r>
        <w:rPr>
          <w:rFonts w:ascii="Times New Roman" w:hAnsi="Times New Roman"/>
        </w:rPr>
        <w:lastRenderedPageBreak/>
        <w:t>target controlled infusion system. In the open-loop group, the propofol infusion is adjusted according to BIS, hemodynamic and the clinical judgment of the anesthesiologists to maintain BIS within the range of 40~60.</w:t>
      </w:r>
    </w:p>
    <w:p w14:paraId="363B320D" w14:textId="77777777" w:rsidR="0067423A" w:rsidRDefault="0067423A" w:rsidP="0067423A">
      <w:pPr>
        <w:rPr>
          <w:rFonts w:ascii="Times New Roman" w:hAnsi="Times New Roman"/>
          <w:b/>
          <w:bCs/>
        </w:rPr>
      </w:pPr>
      <w:r>
        <w:rPr>
          <w:rFonts w:ascii="Times New Roman" w:hAnsi="Times New Roman"/>
          <w:b/>
          <w:bCs/>
        </w:rPr>
        <w:t>4.Outcomes</w:t>
      </w:r>
    </w:p>
    <w:p w14:paraId="17FBE9E7" w14:textId="77777777" w:rsidR="0067423A" w:rsidRDefault="0067423A" w:rsidP="0067423A">
      <w:pPr>
        <w:rPr>
          <w:rFonts w:ascii="Times New Roman" w:hAnsi="Times New Roman"/>
        </w:rPr>
      </w:pPr>
      <w:r>
        <w:rPr>
          <w:rFonts w:ascii="Times New Roman" w:hAnsi="Times New Roman"/>
        </w:rPr>
        <w:t xml:space="preserve">Primary outcomes: include the global score (GS), and the endotracheal tube removal time (from the end of the infusion of intravenous anesthetics to the removal of the endotracheal tube). </w:t>
      </w:r>
    </w:p>
    <w:p w14:paraId="3648F9D7" w14:textId="77777777" w:rsidR="0067423A" w:rsidRDefault="0067423A" w:rsidP="0067423A">
      <w:pPr>
        <w:rPr>
          <w:rFonts w:ascii="Times New Roman" w:hAnsi="Times New Roman"/>
        </w:rPr>
      </w:pPr>
      <w:r>
        <w:rPr>
          <w:rFonts w:ascii="Times New Roman" w:hAnsi="Times New Roman"/>
        </w:rPr>
        <w:t xml:space="preserve">Secondary outcomes:  included the percentage of adequate anesthesia (BIS between 40 and 60), overshoot (BIS &lt; 40) and undershoot (BIS&gt;60) periods, the adjustment times per hour for control of adequate anesthesia (which were collected automatically by the data-collecting software provided by Beijing </w:t>
      </w:r>
      <w:proofErr w:type="spellStart"/>
      <w:r>
        <w:rPr>
          <w:rFonts w:ascii="Times New Roman" w:hAnsi="Times New Roman"/>
        </w:rPr>
        <w:t>slgo</w:t>
      </w:r>
      <w:proofErr w:type="spellEnd"/>
      <w:r>
        <w:rPr>
          <w:rFonts w:ascii="Times New Roman" w:hAnsi="Times New Roman"/>
        </w:rPr>
        <w:t xml:space="preserve"> Medical Technology Co. Ltd). And the doses of propofol, remifentanil, the MMSE scores of the day before operation and the day after operation, and the serum concentration of GFAP and S100B protein.</w:t>
      </w:r>
    </w:p>
    <w:p w14:paraId="28A58C6A" w14:textId="77777777" w:rsidR="0067423A" w:rsidRDefault="0067423A" w:rsidP="0067423A">
      <w:pPr>
        <w:rPr>
          <w:rFonts w:ascii="Times New Roman" w:hAnsi="Times New Roman"/>
        </w:rPr>
      </w:pPr>
      <w:r>
        <w:rPr>
          <w:rFonts w:ascii="Times New Roman" w:hAnsi="Times New Roman"/>
        </w:rPr>
        <w:t>The parameters were calculated as follows: performance error (PE) was defined as the difference between the actual value and the set value:</w:t>
      </w:r>
    </w:p>
    <w:p w14:paraId="72089A24" w14:textId="3C47659D" w:rsidR="0067423A" w:rsidRDefault="0067423A" w:rsidP="0067423A">
      <w:pPr>
        <w:rPr>
          <w:rFonts w:ascii="Times New Roman" w:hAnsi="Times New Roman"/>
        </w:rPr>
      </w:pPr>
      <w:proofErr w:type="spellStart"/>
      <w:r>
        <w:rPr>
          <w:rFonts w:ascii="Times New Roman" w:hAnsi="Times New Roman"/>
        </w:rPr>
        <w:t>PEij</w:t>
      </w:r>
      <w:proofErr w:type="spellEnd"/>
      <w:r>
        <w:rPr>
          <w:rFonts w:ascii="Times New Roman" w:hAnsi="Times New Roman"/>
        </w:rPr>
        <w:fldChar w:fldCharType="begin"/>
      </w:r>
      <w:r>
        <w:rPr>
          <w:rFonts w:ascii="Times New Roman" w:hAnsi="Times New Roman"/>
        </w:rPr>
        <w:instrText xml:space="preserve"> QUOTE </w:instrText>
      </w:r>
      <w:r>
        <w:rPr>
          <w:rFonts w:ascii="Times New Roman" w:hAnsi="Times New Roman"/>
          <w:noProof/>
          <w:position w:val="-23"/>
        </w:rPr>
        <w:drawing>
          <wp:inline distT="0" distB="0" distL="0" distR="0" wp14:anchorId="4CEFFF14" wp14:editId="39C456EC">
            <wp:extent cx="1495425" cy="4000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5425" cy="400050"/>
                    </a:xfrm>
                    <a:prstGeom prst="rect">
                      <a:avLst/>
                    </a:prstGeom>
                    <a:noFill/>
                    <a:ln>
                      <a:noFill/>
                    </a:ln>
                  </pic:spPr>
                </pic:pic>
              </a:graphicData>
            </a:graphic>
          </wp:inline>
        </w:drawing>
      </w:r>
      <w:r>
        <w:rPr>
          <w:rFonts w:ascii="Times New Roman" w:hAnsi="Times New Roman"/>
        </w:rPr>
        <w:instrText xml:space="preserve"> </w:instrText>
      </w:r>
      <w:r>
        <w:rPr>
          <w:rFonts w:ascii="Times New Roman" w:hAnsi="Times New Roman"/>
        </w:rPr>
        <w:fldChar w:fldCharType="separate"/>
      </w:r>
      <w:r>
        <w:rPr>
          <w:rFonts w:ascii="Times New Roman" w:hAnsi="Times New Roman"/>
          <w:noProof/>
          <w:position w:val="-23"/>
        </w:rPr>
        <w:drawing>
          <wp:inline distT="0" distB="0" distL="0" distR="0" wp14:anchorId="2E1984CC" wp14:editId="2E351D85">
            <wp:extent cx="1495425" cy="4000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5425" cy="400050"/>
                    </a:xfrm>
                    <a:prstGeom prst="rect">
                      <a:avLst/>
                    </a:prstGeom>
                    <a:noFill/>
                    <a:ln>
                      <a:noFill/>
                    </a:ln>
                  </pic:spPr>
                </pic:pic>
              </a:graphicData>
            </a:graphic>
          </wp:inline>
        </w:drawing>
      </w:r>
      <w:r>
        <w:rPr>
          <w:rFonts w:ascii="Times New Roman" w:hAnsi="Times New Roman"/>
        </w:rPr>
        <w:fldChar w:fldCharType="end"/>
      </w:r>
    </w:p>
    <w:p w14:paraId="4F0E5CE6" w14:textId="77777777" w:rsidR="0067423A" w:rsidRDefault="0067423A" w:rsidP="0067423A">
      <w:pPr>
        <w:rPr>
          <w:rFonts w:ascii="Times New Roman" w:hAnsi="Times New Roman"/>
        </w:rPr>
      </w:pPr>
      <w:r>
        <w:rPr>
          <w:rFonts w:ascii="Times New Roman" w:hAnsi="Times New Roman"/>
        </w:rPr>
        <w:t>Median performance error (MDPE):</w:t>
      </w:r>
    </w:p>
    <w:p w14:paraId="750ECD47" w14:textId="77777777" w:rsidR="0067423A" w:rsidRDefault="0067423A" w:rsidP="0067423A">
      <w:pPr>
        <w:rPr>
          <w:rFonts w:ascii="Times New Roman" w:hAnsi="Times New Roman"/>
        </w:rPr>
      </w:pPr>
      <w:proofErr w:type="spellStart"/>
      <w:r>
        <w:rPr>
          <w:rFonts w:ascii="Times New Roman" w:hAnsi="Times New Roman"/>
        </w:rPr>
        <w:t>MDPEi</w:t>
      </w:r>
      <w:proofErr w:type="spellEnd"/>
      <w:r>
        <w:rPr>
          <w:rFonts w:ascii="Times New Roman" w:hAnsi="Times New Roman"/>
        </w:rPr>
        <w:t>=Median [</w:t>
      </w:r>
      <w:proofErr w:type="spellStart"/>
      <w:proofErr w:type="gramStart"/>
      <w:r>
        <w:rPr>
          <w:rFonts w:ascii="Times New Roman" w:hAnsi="Times New Roman"/>
        </w:rPr>
        <w:t>PEij,j</w:t>
      </w:r>
      <w:proofErr w:type="spellEnd"/>
      <w:proofErr w:type="gramEnd"/>
      <w:r>
        <w:rPr>
          <w:rFonts w:ascii="Times New Roman" w:hAnsi="Times New Roman"/>
        </w:rPr>
        <w:t>=1,…, Ni]</w:t>
      </w:r>
    </w:p>
    <w:p w14:paraId="53E601F2" w14:textId="77777777" w:rsidR="0067423A" w:rsidRDefault="0067423A" w:rsidP="0067423A">
      <w:pPr>
        <w:rPr>
          <w:rFonts w:ascii="Times New Roman" w:hAnsi="Times New Roman"/>
        </w:rPr>
      </w:pPr>
      <w:r>
        <w:rPr>
          <w:rFonts w:ascii="Times New Roman" w:hAnsi="Times New Roman"/>
        </w:rPr>
        <w:t>Median absolute performance error (MDAPE):</w:t>
      </w:r>
    </w:p>
    <w:p w14:paraId="39E58325" w14:textId="77777777" w:rsidR="0067423A" w:rsidRDefault="0067423A" w:rsidP="0067423A">
      <w:pPr>
        <w:rPr>
          <w:rFonts w:ascii="Times New Roman" w:hAnsi="Times New Roman"/>
        </w:rPr>
      </w:pPr>
      <w:proofErr w:type="spellStart"/>
      <w:r>
        <w:rPr>
          <w:rFonts w:ascii="Times New Roman" w:hAnsi="Times New Roman"/>
        </w:rPr>
        <w:t>MDAPEi</w:t>
      </w:r>
      <w:proofErr w:type="spellEnd"/>
      <w:r>
        <w:rPr>
          <w:rFonts w:ascii="Times New Roman" w:hAnsi="Times New Roman"/>
        </w:rPr>
        <w:t>=Median [ |</w:t>
      </w:r>
      <w:proofErr w:type="spellStart"/>
      <w:r>
        <w:rPr>
          <w:rFonts w:ascii="Times New Roman" w:hAnsi="Times New Roman"/>
        </w:rPr>
        <w:t>PEij</w:t>
      </w:r>
      <w:proofErr w:type="spellEnd"/>
      <w:r>
        <w:rPr>
          <w:rFonts w:ascii="Times New Roman" w:hAnsi="Times New Roman"/>
        </w:rPr>
        <w:t>|, j=1, …, Ni]</w:t>
      </w:r>
    </w:p>
    <w:p w14:paraId="34E5014D" w14:textId="77777777" w:rsidR="0067423A" w:rsidRDefault="0067423A" w:rsidP="0067423A">
      <w:pPr>
        <w:rPr>
          <w:rFonts w:ascii="Times New Roman" w:hAnsi="Times New Roman"/>
        </w:rPr>
      </w:pPr>
      <w:r>
        <w:rPr>
          <w:rFonts w:ascii="Times New Roman" w:hAnsi="Times New Roman"/>
        </w:rPr>
        <w:t>Wobble reflects the intraindividual variability in PE:</w:t>
      </w:r>
    </w:p>
    <w:p w14:paraId="506FBF2A" w14:textId="77777777" w:rsidR="0067423A" w:rsidRDefault="0067423A" w:rsidP="0067423A">
      <w:pPr>
        <w:rPr>
          <w:rFonts w:ascii="Times New Roman" w:hAnsi="Times New Roman"/>
        </w:rPr>
      </w:pPr>
      <w:proofErr w:type="spellStart"/>
      <w:r>
        <w:rPr>
          <w:rFonts w:ascii="Times New Roman" w:hAnsi="Times New Roman"/>
        </w:rPr>
        <w:t>Wobbei</w:t>
      </w:r>
      <w:proofErr w:type="spellEnd"/>
      <w:r>
        <w:rPr>
          <w:rFonts w:ascii="Times New Roman" w:hAnsi="Times New Roman"/>
        </w:rPr>
        <w:t>= [ |</w:t>
      </w:r>
      <w:proofErr w:type="spellStart"/>
      <w:r>
        <w:rPr>
          <w:rFonts w:ascii="Times New Roman" w:hAnsi="Times New Roman"/>
        </w:rPr>
        <w:t>PEij-MDPEi</w:t>
      </w:r>
      <w:proofErr w:type="spellEnd"/>
      <w:r>
        <w:rPr>
          <w:rFonts w:ascii="Times New Roman" w:hAnsi="Times New Roman"/>
        </w:rPr>
        <w:t>|, j=1, …, Ni]</w:t>
      </w:r>
    </w:p>
    <w:p w14:paraId="6A058014" w14:textId="77777777" w:rsidR="0067423A" w:rsidRDefault="0067423A" w:rsidP="0067423A">
      <w:pPr>
        <w:rPr>
          <w:rFonts w:ascii="Times New Roman" w:hAnsi="Times New Roman"/>
        </w:rPr>
      </w:pPr>
      <w:proofErr w:type="spellStart"/>
      <w:r>
        <w:rPr>
          <w:rFonts w:ascii="Times New Roman" w:hAnsi="Times New Roman"/>
        </w:rPr>
        <w:t>i</w:t>
      </w:r>
      <w:proofErr w:type="spellEnd"/>
      <w:r>
        <w:rPr>
          <w:rFonts w:ascii="Times New Roman" w:hAnsi="Times New Roman"/>
        </w:rPr>
        <w:t xml:space="preserve"> =subject number; j= j </w:t>
      </w:r>
      <w:proofErr w:type="spellStart"/>
      <w:r>
        <w:rPr>
          <w:rFonts w:ascii="Times New Roman" w:hAnsi="Times New Roman"/>
        </w:rPr>
        <w:t>th</w:t>
      </w:r>
      <w:proofErr w:type="spellEnd"/>
      <w:r>
        <w:rPr>
          <w:rFonts w:ascii="Times New Roman" w:hAnsi="Times New Roman"/>
        </w:rPr>
        <w:t xml:space="preserve"> (one) measurement of observation period; N= total number of measurements during the observation period.</w:t>
      </w:r>
    </w:p>
    <w:p w14:paraId="700F6697" w14:textId="77777777" w:rsidR="0067423A" w:rsidRDefault="0067423A" w:rsidP="0067423A">
      <w:pPr>
        <w:rPr>
          <w:rFonts w:ascii="Times New Roman" w:hAnsi="Times New Roman"/>
        </w:rPr>
      </w:pPr>
      <w:r>
        <w:rPr>
          <w:rFonts w:ascii="Times New Roman" w:hAnsi="Times New Roman"/>
        </w:rPr>
        <w:t xml:space="preserve">Global score (GS) was calculated using the formula: </w:t>
      </w:r>
    </w:p>
    <w:p w14:paraId="19DF9B34" w14:textId="7302E4EC" w:rsidR="0067423A" w:rsidRDefault="0067423A" w:rsidP="0067423A">
      <w:pPr>
        <w:rPr>
          <w:rFonts w:ascii="Times New Roman" w:hAnsi="Times New Roman"/>
        </w:rPr>
      </w:pPr>
      <w:r>
        <w:rPr>
          <w:rFonts w:ascii="Times New Roman" w:hAnsi="Times New Roman"/>
          <w:noProof/>
        </w:rPr>
        <w:drawing>
          <wp:inline distT="0" distB="0" distL="0" distR="0" wp14:anchorId="24085A7B" wp14:editId="2209F4D9">
            <wp:extent cx="2190750" cy="40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0" cy="400050"/>
                    </a:xfrm>
                    <a:prstGeom prst="rect">
                      <a:avLst/>
                    </a:prstGeom>
                    <a:noFill/>
                    <a:ln>
                      <a:noFill/>
                    </a:ln>
                  </pic:spPr>
                </pic:pic>
              </a:graphicData>
            </a:graphic>
          </wp:inline>
        </w:drawing>
      </w:r>
    </w:p>
    <w:p w14:paraId="3251E68B" w14:textId="77777777" w:rsidR="0067423A" w:rsidRDefault="0067423A" w:rsidP="0067423A">
      <w:pPr>
        <w:rPr>
          <w:rFonts w:ascii="Times New Roman" w:hAnsi="Times New Roman"/>
        </w:rPr>
      </w:pPr>
      <w:r>
        <w:rPr>
          <w:rFonts w:ascii="Times New Roman" w:hAnsi="Times New Roman"/>
        </w:rPr>
        <w:t xml:space="preserve">Lower MDAPE, lower Wobble, and higher proportion of time of BIS between 40 and 60, would result in a lower GS, which was represented better performances of the infusion system. </w:t>
      </w:r>
    </w:p>
    <w:p w14:paraId="0B06355F" w14:textId="77777777" w:rsidR="0067423A" w:rsidRDefault="0067423A" w:rsidP="0067423A">
      <w:pPr>
        <w:rPr>
          <w:rFonts w:ascii="Times New Roman" w:hAnsi="Times New Roman"/>
        </w:rPr>
      </w:pPr>
      <w:r>
        <w:rPr>
          <w:rFonts w:ascii="Times New Roman" w:hAnsi="Times New Roman"/>
          <w:b/>
          <w:bCs/>
        </w:rPr>
        <w:t>5. Statistical analysis</w:t>
      </w:r>
    </w:p>
    <w:p w14:paraId="083A2CF2" w14:textId="77777777" w:rsidR="0067423A" w:rsidRDefault="0067423A" w:rsidP="0067423A">
      <w:pPr>
        <w:rPr>
          <w:rFonts w:ascii="Times New Roman" w:hAnsi="Times New Roman"/>
        </w:rPr>
      </w:pPr>
      <w:r>
        <w:rPr>
          <w:rFonts w:ascii="Times New Roman" w:hAnsi="Times New Roman"/>
        </w:rPr>
        <w:t xml:space="preserve">All statistical analyses are two-sided t test and a P-value &lt;0.05 will be considered statistically significant. Categorical variables, expressed as numbers (frequencies), will be compared using the </w:t>
      </w:r>
      <w:r>
        <w:rPr>
          <w:rFonts w:ascii="Times New Roman" w:hAnsi="Times New Roman"/>
        </w:rPr>
        <w:sym w:font="Symbol" w:char="F063"/>
      </w:r>
      <w:r>
        <w:rPr>
          <w:rFonts w:ascii="Times New Roman" w:hAnsi="Times New Roman"/>
          <w:vertAlign w:val="superscript"/>
        </w:rPr>
        <w:t>2</w:t>
      </w:r>
      <w:r>
        <w:rPr>
          <w:rFonts w:ascii="Times New Roman" w:hAnsi="Times New Roman"/>
        </w:rPr>
        <w:t xml:space="preserve"> test or one-way ANOVA followed by Fisher test. Continuous variables will be presented as means (standard deviation) or medians (25th percentile; 75th percentile). And comparisons between the two groups will be performed using unpaired Student’s t-tests or Manne-Whitney U-tests as appropriate.</w:t>
      </w:r>
    </w:p>
    <w:p w14:paraId="3ADAF291" w14:textId="77777777" w:rsidR="0067423A" w:rsidRDefault="0067423A" w:rsidP="0067423A">
      <w:pPr>
        <w:rPr>
          <w:rFonts w:ascii="Times New Roman" w:hAnsi="Times New Roman"/>
          <w:b/>
          <w:bCs/>
        </w:rPr>
      </w:pPr>
      <w:r>
        <w:rPr>
          <w:rFonts w:ascii="Times New Roman" w:hAnsi="Times New Roman"/>
          <w:b/>
          <w:bCs/>
        </w:rPr>
        <w:t>6. Quality control</w:t>
      </w:r>
    </w:p>
    <w:p w14:paraId="7C98766B" w14:textId="77777777" w:rsidR="0067423A" w:rsidRDefault="0067423A" w:rsidP="0067423A">
      <w:pPr>
        <w:rPr>
          <w:rFonts w:ascii="Times New Roman" w:hAnsi="Times New Roman"/>
        </w:rPr>
      </w:pPr>
      <w:r>
        <w:rPr>
          <w:rFonts w:ascii="宋体" w:eastAsia="宋体" w:hAnsi="宋体" w:cs="宋体" w:hint="eastAsia"/>
        </w:rPr>
        <w:t>①</w:t>
      </w:r>
      <w:r>
        <w:rPr>
          <w:rFonts w:ascii="Times New Roman" w:hAnsi="Times New Roman"/>
        </w:rPr>
        <w:t xml:space="preserve"> Assignment</w:t>
      </w:r>
    </w:p>
    <w:p w14:paraId="0003ED99" w14:textId="77777777" w:rsidR="0067423A" w:rsidRDefault="0067423A" w:rsidP="0067423A">
      <w:pPr>
        <w:pStyle w:val="a3"/>
        <w:numPr>
          <w:ilvl w:val="0"/>
          <w:numId w:val="1"/>
        </w:numPr>
        <w:ind w:firstLineChars="0"/>
      </w:pPr>
      <w:r>
        <w:t>Random assignment</w:t>
      </w:r>
    </w:p>
    <w:p w14:paraId="31BEAA79" w14:textId="77777777" w:rsidR="0067423A" w:rsidRDefault="0067423A" w:rsidP="0067423A">
      <w:pPr>
        <w:pStyle w:val="a3"/>
        <w:ind w:left="360" w:firstLineChars="0" w:firstLine="0"/>
      </w:pPr>
      <w:r>
        <w:t>Random numbers are generated by the statistics member using statistical software. The random method is block randomization, and the patients will be divided into 2 groups according to the ratio of 1: 1.</w:t>
      </w:r>
    </w:p>
    <w:p w14:paraId="7A9EBE05" w14:textId="77777777" w:rsidR="0067423A" w:rsidRDefault="0067423A" w:rsidP="0067423A">
      <w:pPr>
        <w:pStyle w:val="a3"/>
        <w:numPr>
          <w:ilvl w:val="0"/>
          <w:numId w:val="1"/>
        </w:numPr>
        <w:ind w:firstLineChars="0"/>
      </w:pPr>
      <w:r>
        <w:lastRenderedPageBreak/>
        <w:t>Assignment implementation</w:t>
      </w:r>
    </w:p>
    <w:p w14:paraId="36ECBA38" w14:textId="77777777" w:rsidR="0067423A" w:rsidRDefault="0067423A" w:rsidP="0067423A">
      <w:pPr>
        <w:pStyle w:val="a3"/>
        <w:ind w:left="360" w:firstLineChars="0" w:firstLine="0"/>
      </w:pPr>
      <w:r>
        <w:t>This study is a randomized, controlled, single-blind study. After generating a random number sequence, a designated researcher will load each random number and the corresponding group into an opaque envelope with a serial code. Before interscalene brachial plexus block, these envelopes will be opened.</w:t>
      </w:r>
      <w:bookmarkStart w:id="5" w:name="OLE_LINK30"/>
      <w:r>
        <w:t xml:space="preserve"> Each patient’s intervention is determined by the</w:t>
      </w:r>
      <w:bookmarkEnd w:id="5"/>
      <w:r>
        <w:t xml:space="preserve"> grouping scheme within the envelope.</w:t>
      </w:r>
    </w:p>
    <w:p w14:paraId="32B0C3E5" w14:textId="77777777" w:rsidR="0067423A" w:rsidRDefault="0067423A" w:rsidP="0067423A">
      <w:pPr>
        <w:pStyle w:val="a3"/>
        <w:numPr>
          <w:ilvl w:val="0"/>
          <w:numId w:val="2"/>
        </w:numPr>
        <w:ind w:firstLineChars="0"/>
      </w:pPr>
      <w:r>
        <w:t xml:space="preserve"> Blinding method</w:t>
      </w:r>
    </w:p>
    <w:p w14:paraId="425801F5" w14:textId="77777777" w:rsidR="0067423A" w:rsidRDefault="0067423A" w:rsidP="0067423A">
      <w:pPr>
        <w:pStyle w:val="a3"/>
        <w:numPr>
          <w:ilvl w:val="0"/>
          <w:numId w:val="3"/>
        </w:numPr>
        <w:ind w:firstLineChars="0"/>
      </w:pPr>
      <w:r>
        <w:t>Implementation</w:t>
      </w:r>
    </w:p>
    <w:p w14:paraId="454FDEB5" w14:textId="77777777" w:rsidR="0067423A" w:rsidRDefault="0067423A" w:rsidP="0067423A">
      <w:pPr>
        <w:pStyle w:val="a3"/>
        <w:ind w:left="360" w:firstLineChars="0" w:firstLine="0"/>
      </w:pPr>
      <w:r>
        <w:t>An observer will record the intraoperative information and another observer conduct pre- and post-operative visits to patients. Observers do not participate in the implementation of clinical anesthesia and postoperative management. Patients and observers do not know the grouping situation, but the intervention staff know the grouping situation and will perform interfere according to the grouping.</w:t>
      </w:r>
    </w:p>
    <w:p w14:paraId="241FA344" w14:textId="77777777" w:rsidR="0067423A" w:rsidRDefault="0067423A" w:rsidP="0067423A">
      <w:pPr>
        <w:pStyle w:val="a3"/>
        <w:numPr>
          <w:ilvl w:val="0"/>
          <w:numId w:val="3"/>
        </w:numPr>
        <w:ind w:firstLineChars="0"/>
      </w:pPr>
      <w:r>
        <w:t xml:space="preserve">Breaking </w:t>
      </w:r>
    </w:p>
    <w:p w14:paraId="6CC7358D" w14:textId="77777777" w:rsidR="0067423A" w:rsidRDefault="0067423A" w:rsidP="0067423A">
      <w:pPr>
        <w:pStyle w:val="a3"/>
        <w:ind w:left="360" w:firstLineChars="0" w:firstLine="0"/>
      </w:pPr>
      <w:r>
        <w:t>Intervention staff know the grouping situation, and the anesthesia process could be handled in time. Observers are only responsible for pre-operative and post-operative visits and data collection. They do not interfere with the study and do not need to be unblinded in emergency.</w:t>
      </w:r>
    </w:p>
    <w:p w14:paraId="315E57DC" w14:textId="77777777" w:rsidR="0067423A" w:rsidRDefault="0067423A" w:rsidP="0067423A">
      <w:pPr>
        <w:pStyle w:val="a3"/>
        <w:numPr>
          <w:ilvl w:val="0"/>
          <w:numId w:val="3"/>
        </w:numPr>
        <w:ind w:firstLineChars="0"/>
      </w:pPr>
      <w:r>
        <w:t>Unblinding</w:t>
      </w:r>
    </w:p>
    <w:p w14:paraId="0B5D73A8" w14:textId="77777777" w:rsidR="0067423A" w:rsidRDefault="0067423A" w:rsidP="0067423A">
      <w:pPr>
        <w:pStyle w:val="a3"/>
        <w:ind w:left="360" w:firstLineChars="0" w:firstLine="0"/>
      </w:pPr>
      <w:r>
        <w:t>Unblinding is performed after the experiment and before statistical analysis. The person who generated the distribution sequence and the person in charge of the study are unblinded at the same time. Before unblinding, check that the envelopes are intact. Record the date of unblinding and compliance with the process.</w:t>
      </w:r>
    </w:p>
    <w:p w14:paraId="3D8B4399" w14:textId="77777777" w:rsidR="009C7627" w:rsidRPr="0067423A" w:rsidRDefault="009C7627"/>
    <w:sectPr w:rsidR="009C7627" w:rsidRPr="006742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73B8C9B0"/>
    <w:lvl w:ilvl="0" w:tplc="48263750">
      <w:start w:val="2"/>
      <w:numFmt w:val="decimalEnclosedCircle"/>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0000002"/>
    <w:multiLevelType w:val="hybridMultilevel"/>
    <w:tmpl w:val="18F826CE"/>
    <w:lvl w:ilvl="0" w:tplc="4BDA4FA6">
      <w:start w:val="1"/>
      <w:numFmt w:val="low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00000003"/>
    <w:multiLevelType w:val="hybridMultilevel"/>
    <w:tmpl w:val="ED823126"/>
    <w:lvl w:ilvl="0" w:tplc="C2B06292">
      <w:start w:val="1"/>
      <w:numFmt w:val="low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426"/>
    <w:rsid w:val="000A3A24"/>
    <w:rsid w:val="00324DF2"/>
    <w:rsid w:val="0067423A"/>
    <w:rsid w:val="0096217E"/>
    <w:rsid w:val="009C7627"/>
    <w:rsid w:val="009D7045"/>
    <w:rsid w:val="00AC6426"/>
    <w:rsid w:val="00B84999"/>
    <w:rsid w:val="00E061B8"/>
    <w:rsid w:val="00E129FF"/>
    <w:rsid w:val="00EF35C1"/>
    <w:rsid w:val="00FE3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206B86-707D-4B64-8626-CAE82AB39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423A"/>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67423A"/>
    <w:pPr>
      <w:ind w:firstLineChars="200" w:firstLine="420"/>
    </w:pPr>
    <w:rPr>
      <w:rFonts w:ascii="Times New Roman" w:eastAsia="宋体"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76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1681</Words>
  <Characters>9588</Characters>
  <Application>Microsoft Office Word</Application>
  <DocSecurity>0</DocSecurity>
  <Lines>79</Lines>
  <Paragraphs>22</Paragraphs>
  <ScaleCrop>false</ScaleCrop>
  <Company/>
  <LinksUpToDate>false</LinksUpToDate>
  <CharactersWithSpaces>11247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俊杰 李</dc:creator>
  <cp:keywords/>
  <dc:description/>
  <cp:lastModifiedBy>俊杰 李</cp:lastModifiedBy>
  <cp:revision>2</cp:revision>
  <dcterms:created xsi:type="dcterms:W3CDTF">2020-03-10T10:33:00Z</dcterms:created>
  <dcterms:modified xsi:type="dcterms:W3CDTF">2020-03-10T10:33:00Z</dcterms:modified>
</cp:coreProperties>
</file>