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BA223D" w14:textId="77777777" w:rsidR="000F56B5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rFonts w:ascii="Arial-BoldMT" w:hAnsi="Arial-BoldMT" w:cs="Arial-BoldMT"/>
          <w:b/>
          <w:bCs/>
          <w:sz w:val="34"/>
          <w:szCs w:val="28"/>
          <w:lang w:val="en-US"/>
        </w:rPr>
      </w:pPr>
      <w:bookmarkStart w:id="0" w:name="_GoBack"/>
      <w:bookmarkEnd w:id="0"/>
    </w:p>
    <w:p w14:paraId="2FC06F61" w14:textId="77777777" w:rsidR="000F56B5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rFonts w:ascii="Arial-BoldMT" w:hAnsi="Arial-BoldMT" w:cs="Arial-BoldMT"/>
          <w:b/>
          <w:bCs/>
          <w:sz w:val="34"/>
          <w:szCs w:val="28"/>
          <w:lang w:val="en-US"/>
        </w:rPr>
      </w:pPr>
    </w:p>
    <w:p w14:paraId="047DA167" w14:textId="77777777" w:rsidR="000F56B5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rFonts w:ascii="Arial-BoldMT" w:hAnsi="Arial-BoldMT" w:cs="Arial-BoldMT"/>
          <w:b/>
          <w:bCs/>
          <w:sz w:val="34"/>
          <w:szCs w:val="28"/>
          <w:lang w:val="en-US"/>
        </w:rPr>
      </w:pPr>
    </w:p>
    <w:p w14:paraId="62A592A1" w14:textId="77777777" w:rsidR="000F56B5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rFonts w:ascii="Arial-BoldMT" w:hAnsi="Arial-BoldMT" w:cs="Arial-BoldMT"/>
          <w:b/>
          <w:bCs/>
          <w:sz w:val="34"/>
          <w:szCs w:val="28"/>
          <w:lang w:val="en-US"/>
        </w:rPr>
      </w:pPr>
    </w:p>
    <w:p w14:paraId="04F71CC2" w14:textId="77777777" w:rsidR="000F56B5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rFonts w:ascii="Arial-BoldMT" w:hAnsi="Arial-BoldMT" w:cs="Arial-BoldMT"/>
          <w:b/>
          <w:bCs/>
          <w:sz w:val="34"/>
          <w:szCs w:val="28"/>
          <w:lang w:val="en-US"/>
        </w:rPr>
      </w:pPr>
    </w:p>
    <w:p w14:paraId="1716F208" w14:textId="77777777" w:rsidR="000F56B5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rFonts w:ascii="Arial-BoldMT" w:hAnsi="Arial-BoldMT" w:cs="Arial-BoldMT"/>
          <w:b/>
          <w:bCs/>
          <w:sz w:val="34"/>
          <w:szCs w:val="28"/>
          <w:lang w:val="en-US"/>
        </w:rPr>
      </w:pPr>
    </w:p>
    <w:p w14:paraId="664FCF2E" w14:textId="77777777" w:rsidR="000F56B5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rFonts w:ascii="Arial-BoldMT" w:hAnsi="Arial-BoldMT" w:cs="Arial-BoldMT"/>
          <w:b/>
          <w:bCs/>
          <w:sz w:val="34"/>
          <w:szCs w:val="28"/>
          <w:lang w:val="en-US"/>
        </w:rPr>
      </w:pPr>
    </w:p>
    <w:p w14:paraId="1ECC1358" w14:textId="77777777" w:rsidR="000F56B5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rFonts w:ascii="Arial-BoldMT" w:hAnsi="Arial-BoldMT" w:cs="Arial-BoldMT"/>
          <w:b/>
          <w:bCs/>
          <w:sz w:val="34"/>
          <w:szCs w:val="28"/>
          <w:lang w:val="en-US"/>
        </w:rPr>
      </w:pPr>
    </w:p>
    <w:p w14:paraId="160EE592" w14:textId="77777777" w:rsidR="00715597" w:rsidRPr="00D244C2" w:rsidRDefault="00715597" w:rsidP="00715597">
      <w:pPr>
        <w:autoSpaceDE w:val="0"/>
        <w:autoSpaceDN w:val="0"/>
        <w:adjustRightInd w:val="0"/>
        <w:spacing w:after="0" w:line="240" w:lineRule="auto"/>
        <w:jc w:val="left"/>
        <w:rPr>
          <w:rFonts w:ascii="Arial-BoldMT" w:hAnsi="Arial-BoldMT" w:cs="Arial-BoldMT"/>
          <w:b/>
          <w:bCs/>
          <w:sz w:val="34"/>
          <w:szCs w:val="28"/>
          <w:lang w:val="en-US"/>
        </w:rPr>
      </w:pPr>
      <w:r w:rsidRPr="00D244C2">
        <w:rPr>
          <w:rFonts w:ascii="Arial-BoldMT" w:hAnsi="Arial-BoldMT" w:cs="Arial-BoldMT"/>
          <w:b/>
          <w:bCs/>
          <w:sz w:val="34"/>
          <w:szCs w:val="28"/>
          <w:lang w:val="en-US"/>
        </w:rPr>
        <w:t>Supplementary Information for</w:t>
      </w:r>
    </w:p>
    <w:p w14:paraId="5489DA45" w14:textId="77777777" w:rsidR="00715597" w:rsidRPr="00D244C2" w:rsidRDefault="00715597" w:rsidP="000F56B5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D244C2">
        <w:rPr>
          <w:rFonts w:cs="Times New Roman"/>
          <w:b/>
          <w:sz w:val="28"/>
          <w:szCs w:val="28"/>
          <w:lang w:val="en-US"/>
        </w:rPr>
        <w:t xml:space="preserve">Effect of ATG12–ATG5-ATG16L1 autophagy E3 complex on the ability of LC3/GABARAP proteins to induce vesicle tethering and fusion </w:t>
      </w:r>
    </w:p>
    <w:p w14:paraId="478766CD" w14:textId="77777777" w:rsidR="00715597" w:rsidRPr="00D244C2" w:rsidRDefault="00715597" w:rsidP="00715597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07FA93B" w14:textId="57840196" w:rsidR="00715597" w:rsidRPr="00D244C2" w:rsidRDefault="00715597" w:rsidP="00715597">
      <w:pPr>
        <w:rPr>
          <w:rFonts w:cs="Arial"/>
          <w:bCs/>
          <w:sz w:val="24"/>
          <w:szCs w:val="24"/>
          <w:vertAlign w:val="superscript"/>
        </w:rPr>
      </w:pPr>
      <w:r w:rsidRPr="00D244C2">
        <w:rPr>
          <w:rFonts w:cs="Arial"/>
          <w:bCs/>
          <w:sz w:val="24"/>
          <w:szCs w:val="24"/>
        </w:rPr>
        <w:t>Marina N. Iriondo</w:t>
      </w:r>
      <w:r w:rsidRPr="00D244C2">
        <w:rPr>
          <w:rFonts w:cs="Arial"/>
          <w:bCs/>
          <w:sz w:val="24"/>
          <w:szCs w:val="24"/>
          <w:vertAlign w:val="superscript"/>
        </w:rPr>
        <w:t>1,2</w:t>
      </w:r>
      <w:r w:rsidRPr="00D244C2">
        <w:rPr>
          <w:rFonts w:cs="Arial"/>
          <w:bCs/>
          <w:sz w:val="24"/>
          <w:szCs w:val="24"/>
        </w:rPr>
        <w:t xml:space="preserve">, </w:t>
      </w:r>
      <w:proofErr w:type="spellStart"/>
      <w:r w:rsidRPr="00D244C2">
        <w:rPr>
          <w:rFonts w:cs="Arial"/>
          <w:bCs/>
          <w:sz w:val="24"/>
          <w:szCs w:val="24"/>
        </w:rPr>
        <w:t>Asier</w:t>
      </w:r>
      <w:proofErr w:type="spellEnd"/>
      <w:r w:rsidRPr="00D244C2">
        <w:rPr>
          <w:rFonts w:cs="Arial"/>
          <w:bCs/>
          <w:sz w:val="24"/>
          <w:szCs w:val="24"/>
        </w:rPr>
        <w:t xml:space="preserve"> Etxaniz</w:t>
      </w:r>
      <w:r w:rsidRPr="00D244C2">
        <w:rPr>
          <w:rFonts w:cs="Arial"/>
          <w:bCs/>
          <w:sz w:val="24"/>
          <w:szCs w:val="24"/>
          <w:vertAlign w:val="superscript"/>
        </w:rPr>
        <w:t>1,2</w:t>
      </w:r>
      <w:r w:rsidRPr="00D244C2">
        <w:rPr>
          <w:rFonts w:cs="Arial"/>
          <w:bCs/>
          <w:sz w:val="24"/>
          <w:szCs w:val="24"/>
        </w:rPr>
        <w:t xml:space="preserve">, </w:t>
      </w:r>
      <w:proofErr w:type="spellStart"/>
      <w:r w:rsidRPr="00D244C2">
        <w:rPr>
          <w:rFonts w:cs="Arial"/>
          <w:bCs/>
          <w:sz w:val="24"/>
          <w:szCs w:val="24"/>
        </w:rPr>
        <w:t>Yaiza</w:t>
      </w:r>
      <w:proofErr w:type="spellEnd"/>
      <w:r w:rsidRPr="00D244C2">
        <w:rPr>
          <w:rFonts w:cs="Arial"/>
          <w:bCs/>
          <w:sz w:val="24"/>
          <w:szCs w:val="24"/>
        </w:rPr>
        <w:t xml:space="preserve"> </w:t>
      </w:r>
      <w:r w:rsidR="00876BB4" w:rsidRPr="00D244C2">
        <w:rPr>
          <w:rFonts w:cs="Arial"/>
          <w:bCs/>
          <w:sz w:val="24"/>
          <w:szCs w:val="24"/>
        </w:rPr>
        <w:t xml:space="preserve">R. </w:t>
      </w:r>
      <w:r w:rsidRPr="00D244C2">
        <w:rPr>
          <w:rFonts w:cs="Arial"/>
          <w:bCs/>
          <w:sz w:val="24"/>
          <w:szCs w:val="24"/>
        </w:rPr>
        <w:t>Varela</w:t>
      </w:r>
      <w:r w:rsidRPr="00D244C2">
        <w:rPr>
          <w:rFonts w:cs="Arial"/>
          <w:bCs/>
          <w:sz w:val="24"/>
          <w:szCs w:val="24"/>
          <w:vertAlign w:val="superscript"/>
        </w:rPr>
        <w:t>1,2</w:t>
      </w:r>
      <w:r w:rsidRPr="00D244C2">
        <w:rPr>
          <w:rFonts w:cs="Arial"/>
          <w:bCs/>
          <w:sz w:val="24"/>
          <w:szCs w:val="24"/>
        </w:rPr>
        <w:t>, Uxue Ballesteros</w:t>
      </w:r>
      <w:r w:rsidRPr="00D244C2">
        <w:rPr>
          <w:rFonts w:cs="Arial"/>
          <w:bCs/>
          <w:sz w:val="24"/>
          <w:szCs w:val="24"/>
          <w:vertAlign w:val="superscript"/>
        </w:rPr>
        <w:t>1,2</w:t>
      </w:r>
      <w:r w:rsidRPr="00D244C2">
        <w:rPr>
          <w:rFonts w:cs="Arial"/>
          <w:bCs/>
          <w:sz w:val="24"/>
          <w:szCs w:val="24"/>
        </w:rPr>
        <w:t>, Melisa Lázaro</w:t>
      </w:r>
      <w:r w:rsidRPr="00D244C2">
        <w:rPr>
          <w:rFonts w:cs="Arial"/>
          <w:bCs/>
          <w:sz w:val="24"/>
          <w:szCs w:val="24"/>
          <w:vertAlign w:val="superscript"/>
        </w:rPr>
        <w:t>3</w:t>
      </w:r>
      <w:r w:rsidRPr="00D244C2">
        <w:rPr>
          <w:rFonts w:cs="Arial"/>
          <w:bCs/>
          <w:sz w:val="24"/>
          <w:szCs w:val="24"/>
        </w:rPr>
        <w:t>, Mikel Valle</w:t>
      </w:r>
      <w:r w:rsidRPr="00D244C2">
        <w:rPr>
          <w:rFonts w:cs="Arial"/>
          <w:bCs/>
          <w:sz w:val="24"/>
          <w:szCs w:val="24"/>
          <w:vertAlign w:val="superscript"/>
        </w:rPr>
        <w:t>3</w:t>
      </w:r>
      <w:r w:rsidRPr="00D244C2">
        <w:rPr>
          <w:rFonts w:cs="Arial"/>
          <w:bCs/>
          <w:sz w:val="24"/>
          <w:szCs w:val="24"/>
        </w:rPr>
        <w:t xml:space="preserve">, </w:t>
      </w:r>
      <w:r w:rsidR="00411DF5" w:rsidRPr="00D244C2">
        <w:rPr>
          <w:rFonts w:cs="Arial"/>
          <w:bCs/>
          <w:sz w:val="24"/>
          <w:szCs w:val="24"/>
        </w:rPr>
        <w:t>Dorotea Fracchiolla</w:t>
      </w:r>
      <w:r w:rsidR="00411DF5" w:rsidRPr="00D244C2">
        <w:rPr>
          <w:rFonts w:cs="Arial"/>
          <w:bCs/>
          <w:sz w:val="24"/>
          <w:szCs w:val="24"/>
          <w:vertAlign w:val="superscript"/>
        </w:rPr>
        <w:t>4</w:t>
      </w:r>
      <w:r w:rsidR="00411DF5" w:rsidRPr="00D244C2">
        <w:rPr>
          <w:rFonts w:cs="Arial"/>
          <w:bCs/>
          <w:sz w:val="24"/>
          <w:szCs w:val="24"/>
        </w:rPr>
        <w:t xml:space="preserve">, </w:t>
      </w:r>
      <w:proofErr w:type="spellStart"/>
      <w:r w:rsidR="00411DF5" w:rsidRPr="00D244C2">
        <w:rPr>
          <w:rFonts w:cs="Arial"/>
          <w:bCs/>
          <w:sz w:val="24"/>
          <w:szCs w:val="24"/>
        </w:rPr>
        <w:t>Sascha</w:t>
      </w:r>
      <w:proofErr w:type="spellEnd"/>
      <w:r w:rsidR="00411DF5" w:rsidRPr="00D244C2">
        <w:rPr>
          <w:rFonts w:cs="Arial"/>
          <w:bCs/>
          <w:sz w:val="24"/>
          <w:szCs w:val="24"/>
        </w:rPr>
        <w:t xml:space="preserve"> Martens</w:t>
      </w:r>
      <w:r w:rsidR="00411DF5" w:rsidRPr="00D244C2">
        <w:rPr>
          <w:rFonts w:cs="Arial"/>
          <w:bCs/>
          <w:sz w:val="24"/>
          <w:szCs w:val="24"/>
          <w:vertAlign w:val="superscript"/>
        </w:rPr>
        <w:t>4</w:t>
      </w:r>
      <w:r w:rsidR="00411DF5" w:rsidRPr="00D244C2">
        <w:rPr>
          <w:rFonts w:cs="Arial"/>
          <w:bCs/>
          <w:sz w:val="24"/>
          <w:szCs w:val="24"/>
        </w:rPr>
        <w:t>, L</w:t>
      </w:r>
      <w:r w:rsidRPr="00D244C2">
        <w:rPr>
          <w:rFonts w:cs="Arial"/>
          <w:bCs/>
          <w:sz w:val="24"/>
          <w:szCs w:val="24"/>
        </w:rPr>
        <w:t>. Ruth Montes</w:t>
      </w:r>
      <w:r w:rsidRPr="00D244C2">
        <w:rPr>
          <w:rFonts w:cs="Arial"/>
          <w:bCs/>
          <w:sz w:val="24"/>
          <w:szCs w:val="24"/>
          <w:vertAlign w:val="superscript"/>
        </w:rPr>
        <w:t>1,2</w:t>
      </w:r>
      <w:r w:rsidRPr="00D244C2">
        <w:rPr>
          <w:rFonts w:cs="Arial"/>
          <w:bCs/>
          <w:sz w:val="24"/>
          <w:szCs w:val="24"/>
        </w:rPr>
        <w:t>, Félix M. Goñi</w:t>
      </w:r>
      <w:r w:rsidRPr="00D244C2">
        <w:rPr>
          <w:rFonts w:cs="Arial"/>
          <w:bCs/>
          <w:sz w:val="24"/>
          <w:szCs w:val="24"/>
          <w:vertAlign w:val="superscript"/>
        </w:rPr>
        <w:t>1,2</w:t>
      </w:r>
      <w:r w:rsidRPr="00D244C2">
        <w:rPr>
          <w:rFonts w:cs="Arial"/>
          <w:bCs/>
          <w:sz w:val="24"/>
          <w:szCs w:val="24"/>
        </w:rPr>
        <w:t>, Alicia Alonso</w:t>
      </w:r>
      <w:r w:rsidRPr="00D244C2">
        <w:rPr>
          <w:rFonts w:cs="Arial"/>
          <w:bCs/>
          <w:sz w:val="24"/>
          <w:szCs w:val="24"/>
          <w:vertAlign w:val="superscript"/>
        </w:rPr>
        <w:t>1,2&amp;</w:t>
      </w:r>
    </w:p>
    <w:p w14:paraId="2C8BFF59" w14:textId="77777777" w:rsidR="000F56B5" w:rsidRPr="00D244C2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b/>
          <w:noProof/>
          <w:sz w:val="22"/>
          <w:lang w:eastAsia="es-ES"/>
        </w:rPr>
      </w:pPr>
    </w:p>
    <w:p w14:paraId="11CFB4AE" w14:textId="77777777" w:rsidR="000F56B5" w:rsidRPr="00D244C2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b/>
          <w:noProof/>
          <w:sz w:val="22"/>
          <w:lang w:eastAsia="es-ES"/>
        </w:rPr>
      </w:pPr>
    </w:p>
    <w:p w14:paraId="6853254A" w14:textId="77777777" w:rsidR="000F56B5" w:rsidRPr="00D244C2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b/>
          <w:noProof/>
          <w:sz w:val="22"/>
          <w:lang w:eastAsia="es-ES"/>
        </w:rPr>
      </w:pPr>
    </w:p>
    <w:p w14:paraId="58CA7CEB" w14:textId="77777777" w:rsidR="00715597" w:rsidRPr="00D244C2" w:rsidRDefault="000F56B5" w:rsidP="00715597">
      <w:pPr>
        <w:autoSpaceDE w:val="0"/>
        <w:autoSpaceDN w:val="0"/>
        <w:adjustRightInd w:val="0"/>
        <w:spacing w:after="0" w:line="240" w:lineRule="auto"/>
        <w:jc w:val="left"/>
        <w:rPr>
          <w:b/>
          <w:noProof/>
          <w:sz w:val="22"/>
          <w:lang w:val="en-US" w:eastAsia="es-ES"/>
        </w:rPr>
      </w:pPr>
      <w:r w:rsidRPr="00D244C2">
        <w:rPr>
          <w:b/>
          <w:noProof/>
          <w:sz w:val="22"/>
          <w:lang w:val="en-US" w:eastAsia="es-ES"/>
        </w:rPr>
        <w:t>This file includes:</w:t>
      </w:r>
    </w:p>
    <w:p w14:paraId="6B2738EE" w14:textId="37BAE0D2" w:rsidR="000F56B5" w:rsidRPr="00D244C2" w:rsidRDefault="00D813D6" w:rsidP="000F56B5">
      <w:pPr>
        <w:autoSpaceDE w:val="0"/>
        <w:autoSpaceDN w:val="0"/>
        <w:adjustRightInd w:val="0"/>
        <w:spacing w:after="0" w:line="240" w:lineRule="auto"/>
        <w:ind w:left="708"/>
        <w:jc w:val="left"/>
        <w:rPr>
          <w:noProof/>
          <w:sz w:val="22"/>
          <w:lang w:val="en-US" w:eastAsia="es-ES"/>
        </w:rPr>
      </w:pPr>
      <w:r>
        <w:rPr>
          <w:noProof/>
          <w:sz w:val="22"/>
          <w:lang w:val="en-US" w:eastAsia="es-ES"/>
        </w:rPr>
        <w:t>Supp.</w:t>
      </w:r>
      <w:r w:rsidR="00DF085A">
        <w:rPr>
          <w:noProof/>
          <w:sz w:val="22"/>
          <w:lang w:val="en-US" w:eastAsia="es-ES"/>
        </w:rPr>
        <w:t xml:space="preserve"> Fig</w:t>
      </w:r>
      <w:r>
        <w:rPr>
          <w:noProof/>
          <w:sz w:val="22"/>
          <w:lang w:val="en-US" w:eastAsia="es-ES"/>
        </w:rPr>
        <w:t>.</w:t>
      </w:r>
      <w:r w:rsidR="00DF085A">
        <w:rPr>
          <w:noProof/>
          <w:sz w:val="22"/>
          <w:lang w:val="en-US" w:eastAsia="es-ES"/>
        </w:rPr>
        <w:t xml:space="preserve"> 1-</w:t>
      </w:r>
      <w:r w:rsidR="000F56B5" w:rsidRPr="00D244C2">
        <w:rPr>
          <w:noProof/>
          <w:sz w:val="22"/>
          <w:lang w:val="en-US" w:eastAsia="es-ES"/>
        </w:rPr>
        <w:t>8</w:t>
      </w:r>
    </w:p>
    <w:p w14:paraId="5AC00270" w14:textId="5835EE33" w:rsidR="000F56B5" w:rsidRPr="00D244C2" w:rsidRDefault="00DF085A" w:rsidP="000F56B5">
      <w:pPr>
        <w:autoSpaceDE w:val="0"/>
        <w:autoSpaceDN w:val="0"/>
        <w:adjustRightInd w:val="0"/>
        <w:spacing w:after="0" w:line="240" w:lineRule="auto"/>
        <w:ind w:left="708"/>
        <w:jc w:val="left"/>
        <w:rPr>
          <w:noProof/>
          <w:sz w:val="22"/>
          <w:lang w:val="en-US" w:eastAsia="es-ES"/>
        </w:rPr>
      </w:pPr>
      <w:r>
        <w:rPr>
          <w:noProof/>
          <w:sz w:val="22"/>
          <w:lang w:val="en-US" w:eastAsia="es-ES"/>
        </w:rPr>
        <w:t>S</w:t>
      </w:r>
      <w:r w:rsidR="00D813D6">
        <w:rPr>
          <w:noProof/>
          <w:sz w:val="22"/>
          <w:lang w:val="en-US" w:eastAsia="es-ES"/>
        </w:rPr>
        <w:t>upp.</w:t>
      </w:r>
      <w:r>
        <w:rPr>
          <w:noProof/>
          <w:sz w:val="22"/>
          <w:lang w:val="en-US" w:eastAsia="es-ES"/>
        </w:rPr>
        <w:t xml:space="preserve"> Table </w:t>
      </w:r>
      <w:r w:rsidR="000F56B5" w:rsidRPr="00D244C2">
        <w:rPr>
          <w:noProof/>
          <w:sz w:val="22"/>
          <w:lang w:val="en-US" w:eastAsia="es-ES"/>
        </w:rPr>
        <w:t>1</w:t>
      </w:r>
    </w:p>
    <w:p w14:paraId="132A65D2" w14:textId="77777777" w:rsidR="00715597" w:rsidRPr="00D244C2" w:rsidRDefault="00715597">
      <w:pPr>
        <w:jc w:val="left"/>
        <w:rPr>
          <w:noProof/>
          <w:lang w:val="en-US" w:eastAsia="es-ES"/>
        </w:rPr>
      </w:pPr>
      <w:r w:rsidRPr="00D244C2">
        <w:rPr>
          <w:noProof/>
          <w:lang w:val="en-US" w:eastAsia="es-ES"/>
        </w:rPr>
        <w:br w:type="page"/>
      </w:r>
    </w:p>
    <w:p w14:paraId="5C90E8AD" w14:textId="7F644EA4" w:rsidR="00520892" w:rsidRPr="00D244C2" w:rsidRDefault="00D813D6">
      <w:r>
        <w:rPr>
          <w:noProof/>
          <w:lang w:eastAsia="es-ES"/>
        </w:rPr>
        <w:lastRenderedPageBreak/>
        <w:drawing>
          <wp:inline distT="0" distB="0" distL="0" distR="0" wp14:anchorId="4629F851" wp14:editId="71963DBB">
            <wp:extent cx="5400040" cy="247396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7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B2850" w14:textId="2B4AFC1F" w:rsidR="00005D7C" w:rsidRPr="00D813D6" w:rsidRDefault="00D813D6" w:rsidP="00005D7C">
      <w:pPr>
        <w:rPr>
          <w:sz w:val="16"/>
        </w:rPr>
      </w:pPr>
      <w:r w:rsidRPr="00D813D6">
        <w:rPr>
          <w:b/>
          <w:bCs/>
          <w:sz w:val="16"/>
          <w:lang w:val="en-GB"/>
        </w:rPr>
        <w:t>Supp. Fig.</w:t>
      </w:r>
      <w:r w:rsidR="00DF085A" w:rsidRPr="00D813D6">
        <w:rPr>
          <w:b/>
          <w:bCs/>
          <w:sz w:val="16"/>
          <w:lang w:val="en-GB"/>
        </w:rPr>
        <w:t xml:space="preserve"> </w:t>
      </w:r>
      <w:r w:rsidR="00005D7C" w:rsidRPr="00D813D6">
        <w:rPr>
          <w:b/>
          <w:bCs/>
          <w:sz w:val="16"/>
          <w:lang w:val="en-GB"/>
        </w:rPr>
        <w:t xml:space="preserve">1.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The faster migrating band observed after ATP addition represents the lipidated LC3/GABARAP protein. </w:t>
      </w:r>
      <w:proofErr w:type="gramStart"/>
      <w:r w:rsidRPr="00D813D6">
        <w:rPr>
          <w:rFonts w:ascii="Times New Roman" w:hAnsi="Times New Roman" w:cs="Times New Roman"/>
          <w:b/>
          <w:sz w:val="16"/>
          <w:lang w:val="en-US"/>
        </w:rPr>
        <w:t>a-f</w:t>
      </w:r>
      <w:proofErr w:type="gram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</w:t>
      </w:r>
      <w:r w:rsidR="00005D7C" w:rsidRPr="00D813D6">
        <w:rPr>
          <w:rFonts w:ascii="Times New Roman" w:hAnsi="Times New Roman" w:cs="Times New Roman"/>
          <w:i/>
          <w:iCs/>
          <w:sz w:val="16"/>
          <w:lang w:val="en-US"/>
        </w:rPr>
        <w:t>In vitro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LC3/GABARAP lipidation assay: 0.5 µM ATG7, 1 µM ATG3, 0.1 µM E3 and 5 µM of the indicated LC3/GABARAP-protein member were mixed with 0.4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mM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LUVs (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ePC:DOPE:PI:DOG:NBDtail-PE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(33:45:10:2:10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mol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ratio)). Each reaction mixture was incubated at 37°C for 30 min, run on 15% SDS-PAGE gels, and visualized by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Commassie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Brilliant Blue staining (left panels) or using a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VersaDoc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MP 4000 Imaging System to detect NBD-PE fluorescence (right panels).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Only the faster migrating band (*) showed fluorescence. </w:t>
      </w:r>
    </w:p>
    <w:p w14:paraId="7E865B60" w14:textId="77777777" w:rsidR="00005D7C" w:rsidRPr="00D244C2" w:rsidRDefault="00005D7C">
      <w:pPr>
        <w:jc w:val="left"/>
      </w:pPr>
      <w:r w:rsidRPr="00D244C2">
        <w:br w:type="page"/>
      </w:r>
    </w:p>
    <w:p w14:paraId="036C7BAC" w14:textId="77777777" w:rsidR="00005D7C" w:rsidRPr="00D244C2" w:rsidRDefault="00005D7C">
      <w:r w:rsidRPr="00D244C2">
        <w:rPr>
          <w:noProof/>
          <w:lang w:eastAsia="es-ES"/>
        </w:rPr>
        <w:lastRenderedPageBreak/>
        <w:drawing>
          <wp:inline distT="0" distB="0" distL="0" distR="0" wp14:anchorId="44B677CE" wp14:editId="271EEDC2">
            <wp:extent cx="5400040" cy="2825087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 S2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18"/>
                    <a:stretch/>
                  </pic:blipFill>
                  <pic:spPr bwMode="auto">
                    <a:xfrm>
                      <a:off x="0" y="0"/>
                      <a:ext cx="5400040" cy="2825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D12A75" w14:textId="4EA9BAE5" w:rsidR="00005D7C" w:rsidRPr="00D813D6" w:rsidRDefault="00DF085A" w:rsidP="00005D7C">
      <w:pPr>
        <w:rPr>
          <w:sz w:val="16"/>
          <w:lang w:val="en-US"/>
        </w:rPr>
      </w:pPr>
      <w:r w:rsidRPr="00D813D6">
        <w:rPr>
          <w:b/>
          <w:bCs/>
          <w:sz w:val="16"/>
          <w:lang w:val="en-GB"/>
        </w:rPr>
        <w:t>S</w:t>
      </w:r>
      <w:r w:rsidR="00D813D6" w:rsidRPr="00D813D6">
        <w:rPr>
          <w:b/>
          <w:bCs/>
          <w:sz w:val="16"/>
          <w:lang w:val="en-GB"/>
        </w:rPr>
        <w:t>upp.</w:t>
      </w:r>
      <w:r w:rsidRPr="00D813D6">
        <w:rPr>
          <w:b/>
          <w:bCs/>
          <w:sz w:val="16"/>
          <w:lang w:val="en-GB"/>
        </w:rPr>
        <w:t xml:space="preserve"> </w:t>
      </w:r>
      <w:r w:rsidR="00D813D6" w:rsidRPr="00D813D6">
        <w:rPr>
          <w:b/>
          <w:bCs/>
          <w:sz w:val="16"/>
          <w:lang w:val="en-GB"/>
        </w:rPr>
        <w:t>Fig.</w:t>
      </w:r>
      <w:r w:rsidR="00005D7C" w:rsidRPr="00D813D6">
        <w:rPr>
          <w:b/>
          <w:bCs/>
          <w:sz w:val="16"/>
          <w:lang w:val="en-GB"/>
        </w:rPr>
        <w:t xml:space="preserve"> 2.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Membrane interaction of the lipidation machinery increases in the presence of ATP.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SDS-PAGE/Coomassie Brilliant Blue-stained gels of the fractions obtained from a vesicle flotation assay of the proteins that form the lipidation machinery in the absence (left) or presence (right) of ATP. Protein found in fractions 3+4 was taken as bound protein. Protein and lipid concentrations were increased by 5-fold in order to detect E3 complex in the gels. 2.5 µM ATG7, 5 µM ATG3, 0.5 µM E3 and 25 µM of GABARAPL1 were incubated with 2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mM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LUVs (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ePC</w:t>
      </w:r>
      <w:proofErr w:type="gramStart"/>
      <w:r w:rsidR="00005D7C" w:rsidRPr="00D813D6">
        <w:rPr>
          <w:rFonts w:ascii="Times New Roman" w:hAnsi="Times New Roman" w:cs="Times New Roman"/>
          <w:sz w:val="16"/>
          <w:lang w:val="en-US"/>
        </w:rPr>
        <w:t>:DOPE:PI:DOG</w:t>
      </w:r>
      <w:proofErr w:type="spellEnd"/>
      <w:proofErr w:type="gram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(33:55:10:2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mol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ratio)) at 37°C for 30 min in the absence or presence of ATP. </w:t>
      </w:r>
    </w:p>
    <w:p w14:paraId="3A56B474" w14:textId="77777777" w:rsidR="00005D7C" w:rsidRPr="00D244C2" w:rsidRDefault="00005D7C">
      <w:pPr>
        <w:jc w:val="left"/>
        <w:rPr>
          <w:lang w:val="en-US"/>
        </w:rPr>
      </w:pPr>
      <w:r w:rsidRPr="00D244C2">
        <w:rPr>
          <w:lang w:val="en-US"/>
        </w:rPr>
        <w:br w:type="page"/>
      </w:r>
    </w:p>
    <w:p w14:paraId="2B5599FD" w14:textId="0D1908EB" w:rsidR="00005D7C" w:rsidRPr="00D244C2" w:rsidRDefault="00D813D6">
      <w:pPr>
        <w:rPr>
          <w:lang w:val="en-US"/>
        </w:rPr>
      </w:pPr>
      <w:r>
        <w:rPr>
          <w:noProof/>
          <w:lang w:eastAsia="es-ES"/>
        </w:rPr>
        <w:lastRenderedPageBreak/>
        <w:drawing>
          <wp:inline distT="0" distB="0" distL="0" distR="0" wp14:anchorId="1477E163" wp14:editId="317FF698">
            <wp:extent cx="5400040" cy="7103745"/>
            <wp:effectExtent l="0" t="0" r="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1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10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13C34" w14:textId="0B762A3B" w:rsidR="00005D7C" w:rsidRPr="00D813D6" w:rsidRDefault="00DF085A" w:rsidP="00005D7C">
      <w:pPr>
        <w:rPr>
          <w:rFonts w:ascii="Times New Roman" w:hAnsi="Times New Roman" w:cs="Times New Roman"/>
          <w:sz w:val="16"/>
          <w:lang w:val="en-US"/>
        </w:rPr>
      </w:pPr>
      <w:r w:rsidRPr="00D813D6">
        <w:rPr>
          <w:rFonts w:cs="Times New Roman"/>
          <w:b/>
          <w:bCs/>
          <w:sz w:val="16"/>
          <w:lang w:val="en-GB"/>
        </w:rPr>
        <w:t>S</w:t>
      </w:r>
      <w:r w:rsidR="00D813D6" w:rsidRPr="00D813D6">
        <w:rPr>
          <w:rFonts w:cs="Times New Roman"/>
          <w:b/>
          <w:bCs/>
          <w:sz w:val="16"/>
          <w:lang w:val="en-GB"/>
        </w:rPr>
        <w:t>upp. Fig.</w:t>
      </w:r>
      <w:r w:rsidRPr="00D813D6">
        <w:rPr>
          <w:rFonts w:cs="Times New Roman"/>
          <w:b/>
          <w:bCs/>
          <w:sz w:val="16"/>
          <w:lang w:val="en-GB"/>
        </w:rPr>
        <w:t xml:space="preserve"> </w:t>
      </w:r>
      <w:r w:rsidR="00005D7C" w:rsidRPr="00D813D6">
        <w:rPr>
          <w:rFonts w:cs="Times New Roman"/>
          <w:b/>
          <w:bCs/>
          <w:sz w:val="16"/>
          <w:lang w:val="en-GB"/>
        </w:rPr>
        <w:t>3.</w:t>
      </w:r>
      <w:r w:rsidR="00005D7C" w:rsidRPr="00D813D6">
        <w:rPr>
          <w:rFonts w:ascii="Times New Roman" w:hAnsi="Times New Roman" w:cs="Times New Roman"/>
          <w:b/>
          <w:bCs/>
          <w:sz w:val="16"/>
          <w:lang w:val="en-GB"/>
        </w:rPr>
        <w:t xml:space="preserve">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Comparative summary of LC3/GABARAP-protein lipidation, tethering and lipid mixing kinetics in the absence and presence of E3 complex. Data from </w:t>
      </w:r>
      <w:r w:rsidR="00A72C35" w:rsidRPr="00D813D6">
        <w:rPr>
          <w:rFonts w:ascii="Times New Roman" w:hAnsi="Times New Roman" w:cs="Times New Roman"/>
          <w:sz w:val="16"/>
          <w:lang w:val="en-GB"/>
        </w:rPr>
        <w:t>Figure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2, </w:t>
      </w:r>
      <w:r w:rsidR="00A72C35" w:rsidRPr="00D813D6">
        <w:rPr>
          <w:rFonts w:ascii="Times New Roman" w:hAnsi="Times New Roman" w:cs="Times New Roman"/>
          <w:sz w:val="16"/>
          <w:lang w:val="en-GB"/>
        </w:rPr>
        <w:t>Figure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4 and </w:t>
      </w:r>
      <w:r w:rsidR="00A72C35" w:rsidRPr="00D813D6">
        <w:rPr>
          <w:rFonts w:ascii="Times New Roman" w:hAnsi="Times New Roman" w:cs="Times New Roman"/>
          <w:sz w:val="16"/>
          <w:lang w:val="en-GB"/>
        </w:rPr>
        <w:t>Figure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5 </w:t>
      </w:r>
      <w:proofErr w:type="gramStart"/>
      <w:r w:rsidR="00005D7C" w:rsidRPr="00D813D6">
        <w:rPr>
          <w:rFonts w:ascii="Times New Roman" w:hAnsi="Times New Roman" w:cs="Times New Roman"/>
          <w:sz w:val="16"/>
          <w:lang w:val="en-GB"/>
        </w:rPr>
        <w:t>were redrawn</w:t>
      </w:r>
      <w:proofErr w:type="gramEnd"/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in order to allow an easier comparison</w:t>
      </w:r>
      <w:r w:rsidR="00D813D6" w:rsidRPr="00D813D6">
        <w:rPr>
          <w:rFonts w:ascii="Times New Roman" w:hAnsi="Times New Roman" w:cs="Times New Roman"/>
          <w:sz w:val="16"/>
          <w:lang w:val="en-GB"/>
        </w:rPr>
        <w:t xml:space="preserve"> of the results in this study. </w:t>
      </w:r>
      <w:proofErr w:type="gramStart"/>
      <w:r w:rsidR="00D813D6" w:rsidRPr="00D813D6">
        <w:rPr>
          <w:rFonts w:ascii="Times New Roman" w:hAnsi="Times New Roman" w:cs="Times New Roman"/>
          <w:b/>
          <w:sz w:val="16"/>
          <w:lang w:val="en-GB"/>
        </w:rPr>
        <w:t>a</w:t>
      </w:r>
      <w:proofErr w:type="gramEnd"/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GB"/>
        </w:rPr>
        <w:t>Lipidation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kinetics of LC3/GABARAP proteins after ATP addition in the absence (grey) and in the presence (green) of E3 complex. </w:t>
      </w:r>
      <w:proofErr w:type="gramStart"/>
      <w:r w:rsidR="00D813D6" w:rsidRPr="00D813D6">
        <w:rPr>
          <w:rFonts w:ascii="Times New Roman" w:hAnsi="Times New Roman" w:cs="Times New Roman"/>
          <w:b/>
          <w:sz w:val="16"/>
          <w:lang w:val="en-GB"/>
        </w:rPr>
        <w:t>b</w:t>
      </w:r>
      <w:proofErr w:type="gramEnd"/>
      <w:r w:rsidR="00D813D6" w:rsidRPr="00D813D6">
        <w:rPr>
          <w:rFonts w:ascii="Times New Roman" w:hAnsi="Times New Roman" w:cs="Times New Roman"/>
          <w:sz w:val="16"/>
          <w:lang w:val="en-GB"/>
        </w:rPr>
        <w:t xml:space="preserve">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Tethering kinetics of each LC3/GABARAP-family member after ATP addition in the absence (grey) and in the presence (green) of E3 complex. </w:t>
      </w:r>
      <w:proofErr w:type="gramStart"/>
      <w:r w:rsidR="00D813D6" w:rsidRPr="00D813D6">
        <w:rPr>
          <w:rFonts w:ascii="Times New Roman" w:hAnsi="Times New Roman" w:cs="Times New Roman"/>
          <w:b/>
          <w:sz w:val="16"/>
          <w:lang w:val="en-GB"/>
        </w:rPr>
        <w:t>c</w:t>
      </w:r>
      <w:proofErr w:type="gramEnd"/>
      <w:r w:rsidR="00005D7C" w:rsidRPr="00D813D6">
        <w:rPr>
          <w:rFonts w:ascii="Times New Roman" w:hAnsi="Times New Roman" w:cs="Times New Roman"/>
          <w:b/>
          <w:sz w:val="16"/>
          <w:lang w:val="en-GB"/>
        </w:rPr>
        <w:t xml:space="preserve">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Lipid mixing kinetics of LC3/GABARAP proteins after ATP addition in the absence (grey) and in the presence (green) of E3 complex. </w:t>
      </w:r>
    </w:p>
    <w:p w14:paraId="606F60B1" w14:textId="77777777" w:rsidR="00005D7C" w:rsidRPr="00D244C2" w:rsidRDefault="00005D7C">
      <w:pPr>
        <w:jc w:val="left"/>
        <w:rPr>
          <w:lang w:val="en-US"/>
        </w:rPr>
      </w:pPr>
      <w:r w:rsidRPr="00D244C2">
        <w:rPr>
          <w:lang w:val="en-US"/>
        </w:rPr>
        <w:br w:type="page"/>
      </w:r>
    </w:p>
    <w:p w14:paraId="2BDD6348" w14:textId="2B520A58" w:rsidR="00005D7C" w:rsidRPr="00D244C2" w:rsidRDefault="00D813D6">
      <w:pPr>
        <w:rPr>
          <w:lang w:val="en-US"/>
        </w:rPr>
      </w:pPr>
      <w:r>
        <w:rPr>
          <w:noProof/>
          <w:lang w:eastAsia="es-ES"/>
        </w:rPr>
        <w:lastRenderedPageBreak/>
        <w:drawing>
          <wp:inline distT="0" distB="0" distL="0" distR="0" wp14:anchorId="0563ADE9" wp14:editId="7B4F1451">
            <wp:extent cx="5400040" cy="539496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11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9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69A18" w14:textId="6C7C2CA7" w:rsidR="00005D7C" w:rsidRPr="00D813D6" w:rsidRDefault="00DF085A" w:rsidP="00005D7C">
      <w:pPr>
        <w:rPr>
          <w:sz w:val="16"/>
        </w:rPr>
      </w:pPr>
      <w:r w:rsidRPr="00D813D6">
        <w:rPr>
          <w:b/>
          <w:bCs/>
          <w:sz w:val="16"/>
          <w:lang w:val="en-GB"/>
        </w:rPr>
        <w:t>S</w:t>
      </w:r>
      <w:r w:rsidR="00D813D6" w:rsidRPr="00D813D6">
        <w:rPr>
          <w:b/>
          <w:bCs/>
          <w:sz w:val="16"/>
          <w:lang w:val="en-GB"/>
        </w:rPr>
        <w:t>upp. Fig.</w:t>
      </w:r>
      <w:r w:rsidRPr="00D813D6">
        <w:rPr>
          <w:b/>
          <w:bCs/>
          <w:sz w:val="16"/>
          <w:lang w:val="en-GB"/>
        </w:rPr>
        <w:t xml:space="preserve"> </w:t>
      </w:r>
      <w:r w:rsidR="00005D7C" w:rsidRPr="00D813D6">
        <w:rPr>
          <w:b/>
          <w:bCs/>
          <w:sz w:val="16"/>
          <w:lang w:val="en-GB"/>
        </w:rPr>
        <w:t xml:space="preserve">4. </w:t>
      </w:r>
      <w:r w:rsidR="00005D7C" w:rsidRPr="00D813D6">
        <w:rPr>
          <w:rFonts w:ascii="Times New Roman" w:hAnsi="Times New Roman" w:cs="Times New Roman"/>
          <w:sz w:val="16"/>
          <w:lang w:val="en-GB"/>
        </w:rPr>
        <w:t>Effect of E3 complex on LC3/GABARAP-protein lipidation and the subsequent vesicle tethering and lipid mixing 25 min after ATP addition.</w:t>
      </w:r>
      <w:r w:rsidR="00005D7C" w:rsidRPr="00D813D6">
        <w:rPr>
          <w:rFonts w:ascii="Times New Roman" w:hAnsi="Times New Roman" w:cs="Times New Roman"/>
          <w:b/>
          <w:sz w:val="16"/>
          <w:lang w:val="en-GB"/>
        </w:rPr>
        <w:t xml:space="preserve"> </w:t>
      </w:r>
      <w:proofErr w:type="gramStart"/>
      <w:r w:rsidR="00D813D6" w:rsidRPr="00D813D6">
        <w:rPr>
          <w:rFonts w:ascii="Times New Roman" w:hAnsi="Times New Roman" w:cs="Times New Roman"/>
          <w:b/>
          <w:sz w:val="16"/>
          <w:lang w:val="en-GB"/>
        </w:rPr>
        <w:t>a</w:t>
      </w:r>
      <w:proofErr w:type="gramEnd"/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Final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GB"/>
        </w:rPr>
        <w:t>lipidation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levels in the absence (grey) and presence (green) of E3 complex. </w:t>
      </w:r>
      <w:proofErr w:type="gramStart"/>
      <w:r w:rsidR="00D813D6" w:rsidRPr="00D813D6">
        <w:rPr>
          <w:rFonts w:ascii="Times New Roman" w:hAnsi="Times New Roman" w:cs="Times New Roman"/>
          <w:b/>
          <w:sz w:val="16"/>
          <w:lang w:val="en-GB"/>
        </w:rPr>
        <w:t>b</w:t>
      </w:r>
      <w:proofErr w:type="gramEnd"/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Extent of vesicle tethering induced by LC3/GABARAP proteins in the absence (grey) and presence (green) of E3 complex. </w:t>
      </w:r>
      <w:r w:rsidR="00D813D6" w:rsidRPr="00D813D6">
        <w:rPr>
          <w:rFonts w:ascii="Times New Roman" w:hAnsi="Times New Roman" w:cs="Times New Roman"/>
          <w:b/>
          <w:sz w:val="16"/>
          <w:lang w:val="en-GB"/>
        </w:rPr>
        <w:t>c</w:t>
      </w:r>
      <w:r w:rsidR="00005D7C" w:rsidRPr="00D813D6">
        <w:rPr>
          <w:rFonts w:ascii="Times New Roman" w:hAnsi="Times New Roman" w:cs="Times New Roman"/>
          <w:b/>
          <w:sz w:val="16"/>
          <w:lang w:val="en-GB"/>
        </w:rPr>
        <w:t xml:space="preserve">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Extent of lipid mixing induced by LC3/GABARAP proteins in the absence (grey) and presence (green) of E3 complex.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Data are means ± SD (n = 3). </w:t>
      </w:r>
    </w:p>
    <w:p w14:paraId="34C27BDD" w14:textId="77777777" w:rsidR="00005D7C" w:rsidRPr="00D244C2" w:rsidRDefault="00005D7C">
      <w:pPr>
        <w:jc w:val="left"/>
        <w:rPr>
          <w:lang w:val="en-US"/>
        </w:rPr>
      </w:pPr>
      <w:r w:rsidRPr="00D244C2">
        <w:rPr>
          <w:lang w:val="en-US"/>
        </w:rPr>
        <w:br w:type="page"/>
      </w:r>
    </w:p>
    <w:p w14:paraId="24168B67" w14:textId="02CDC97C" w:rsidR="00005D7C" w:rsidRPr="00D244C2" w:rsidRDefault="00D813D6">
      <w:pPr>
        <w:rPr>
          <w:lang w:val="en-US"/>
        </w:rPr>
      </w:pPr>
      <w:r>
        <w:rPr>
          <w:noProof/>
          <w:lang w:eastAsia="es-ES"/>
        </w:rPr>
        <w:lastRenderedPageBreak/>
        <w:drawing>
          <wp:inline distT="0" distB="0" distL="0" distR="0" wp14:anchorId="2BB7523F" wp14:editId="65FEA449">
            <wp:extent cx="5400040" cy="206756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1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EB827" w14:textId="4DA05081" w:rsidR="00005D7C" w:rsidRPr="00D813D6" w:rsidRDefault="00DF085A" w:rsidP="00005D7C">
      <w:pPr>
        <w:rPr>
          <w:sz w:val="16"/>
          <w:lang w:val="en-US"/>
        </w:rPr>
      </w:pPr>
      <w:r w:rsidRPr="00D813D6">
        <w:rPr>
          <w:b/>
          <w:bCs/>
          <w:sz w:val="16"/>
          <w:lang w:val="en-GB"/>
        </w:rPr>
        <w:t>S</w:t>
      </w:r>
      <w:r w:rsidR="00D813D6" w:rsidRPr="00D813D6">
        <w:rPr>
          <w:b/>
          <w:bCs/>
          <w:sz w:val="16"/>
          <w:lang w:val="en-GB"/>
        </w:rPr>
        <w:t>upp. Fig.</w:t>
      </w:r>
      <w:r w:rsidRPr="00D813D6">
        <w:rPr>
          <w:b/>
          <w:bCs/>
          <w:sz w:val="16"/>
          <w:lang w:val="en-GB"/>
        </w:rPr>
        <w:t xml:space="preserve"> </w:t>
      </w:r>
      <w:r w:rsidR="00005D7C" w:rsidRPr="00D813D6">
        <w:rPr>
          <w:b/>
          <w:bCs/>
          <w:sz w:val="16"/>
          <w:lang w:val="en-GB"/>
        </w:rPr>
        <w:t xml:space="preserve">5.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Lipidated LC3/GABARAP proteins did not induce vesicle permeabilization neither in the absence nor in the presence of E3 complex. Membrane vesicle content leakage analysis induced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by lipidated LC3/GABARAP proteins in the absence and presence of the E3 complex was monitored by the ANTS/DPX leakage assay. 0.4 mM LUVs containing co-encapsulated ANTS and DPX were mixed with 0.5 µM ATG7, 1 µM ATG3,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and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5 µM of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the pertinent LC3/GABARAP-family member and ATP was added after 4 min.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100% leakage signal was obtained by adding 1% Triton X-100.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Contents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leakage </w:t>
      </w:r>
      <w:r w:rsidR="00005D7C" w:rsidRPr="00D813D6">
        <w:rPr>
          <w:rFonts w:ascii="Times New Roman" w:hAnsi="Times New Roman" w:cs="Times New Roman"/>
          <w:sz w:val="16"/>
          <w:lang w:val="en-GB"/>
        </w:rPr>
        <w:t>in the absence (</w:t>
      </w:r>
      <w:r w:rsidR="00D813D6" w:rsidRPr="00D813D6">
        <w:rPr>
          <w:rFonts w:ascii="Times New Roman" w:hAnsi="Times New Roman" w:cs="Times New Roman"/>
          <w:iCs/>
          <w:sz w:val="16"/>
          <w:lang w:val="en-GB"/>
        </w:rPr>
        <w:t>a</w:t>
      </w:r>
      <w:r w:rsidR="00005D7C" w:rsidRPr="00D813D6">
        <w:rPr>
          <w:rFonts w:ascii="Times New Roman" w:hAnsi="Times New Roman" w:cs="Times New Roman"/>
          <w:sz w:val="16"/>
          <w:lang w:val="en-GB"/>
        </w:rPr>
        <w:t>) or in the presence (</w:t>
      </w:r>
      <w:r w:rsidR="00D813D6" w:rsidRPr="00D813D6">
        <w:rPr>
          <w:rFonts w:ascii="Times New Roman" w:hAnsi="Times New Roman" w:cs="Times New Roman"/>
          <w:iCs/>
          <w:sz w:val="16"/>
          <w:lang w:val="en-GB"/>
        </w:rPr>
        <w:t>b</w:t>
      </w:r>
      <w:r w:rsidR="00005D7C" w:rsidRPr="00D813D6">
        <w:rPr>
          <w:rFonts w:ascii="Times New Roman" w:hAnsi="Times New Roman" w:cs="Times New Roman"/>
          <w:sz w:val="16"/>
          <w:lang w:val="en-GB"/>
        </w:rPr>
        <w:t>) of E3 complex.</w:t>
      </w:r>
      <w:r w:rsidR="00005D7C" w:rsidRPr="00D813D6">
        <w:rPr>
          <w:sz w:val="16"/>
          <w:lang w:val="en-GB"/>
        </w:rPr>
        <w:t xml:space="preserve"> </w:t>
      </w:r>
    </w:p>
    <w:p w14:paraId="541B5974" w14:textId="77777777" w:rsidR="00005D7C" w:rsidRPr="00D244C2" w:rsidRDefault="00005D7C">
      <w:pPr>
        <w:jc w:val="left"/>
        <w:rPr>
          <w:lang w:val="en-US"/>
        </w:rPr>
      </w:pPr>
      <w:r w:rsidRPr="00D244C2">
        <w:rPr>
          <w:lang w:val="en-US"/>
        </w:rPr>
        <w:br w:type="page"/>
      </w:r>
    </w:p>
    <w:p w14:paraId="31BF8E06" w14:textId="15560D4B" w:rsidR="00737F73" w:rsidRPr="00D244C2" w:rsidRDefault="004B452C">
      <w:pPr>
        <w:rPr>
          <w:lang w:val="en-US"/>
        </w:rPr>
      </w:pPr>
      <w:r>
        <w:rPr>
          <w:noProof/>
          <w:lang w:eastAsia="es-ES"/>
        </w:rPr>
        <w:lastRenderedPageBreak/>
        <w:drawing>
          <wp:inline distT="0" distB="0" distL="0" distR="0" wp14:anchorId="2148B4F7" wp14:editId="3F6312B4">
            <wp:extent cx="5400040" cy="196723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1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9594C" w14:textId="7763DC20" w:rsidR="00005D7C" w:rsidRPr="00D813D6" w:rsidRDefault="00D813D6" w:rsidP="00005D7C">
      <w:pPr>
        <w:rPr>
          <w:sz w:val="16"/>
          <w:lang w:val="en-US"/>
        </w:rPr>
      </w:pPr>
      <w:r w:rsidRPr="00D813D6">
        <w:rPr>
          <w:b/>
          <w:bCs/>
          <w:sz w:val="16"/>
          <w:lang w:val="en-GB"/>
        </w:rPr>
        <w:t>Supp.</w:t>
      </w:r>
      <w:r w:rsidR="00DF085A" w:rsidRPr="00D813D6">
        <w:rPr>
          <w:b/>
          <w:bCs/>
          <w:sz w:val="16"/>
          <w:lang w:val="en-GB"/>
        </w:rPr>
        <w:t xml:space="preserve"> </w:t>
      </w:r>
      <w:r w:rsidR="00A72C35" w:rsidRPr="00D813D6">
        <w:rPr>
          <w:b/>
          <w:bCs/>
          <w:sz w:val="16"/>
          <w:lang w:val="en-GB"/>
        </w:rPr>
        <w:t>Fig</w:t>
      </w:r>
      <w:r w:rsidRPr="00D813D6">
        <w:rPr>
          <w:b/>
          <w:bCs/>
          <w:sz w:val="16"/>
          <w:lang w:val="en-GB"/>
        </w:rPr>
        <w:t>.</w:t>
      </w:r>
      <w:r w:rsidR="00005D7C" w:rsidRPr="00D813D6">
        <w:rPr>
          <w:b/>
          <w:bCs/>
          <w:sz w:val="16"/>
          <w:lang w:val="en-GB"/>
        </w:rPr>
        <w:t xml:space="preserve"> 6. </w:t>
      </w:r>
      <w:r w:rsidR="00005D7C" w:rsidRPr="00D813D6">
        <w:rPr>
          <w:rFonts w:ascii="Times New Roman" w:hAnsi="Times New Roman" w:cs="Times New Roman"/>
          <w:sz w:val="16"/>
          <w:lang w:val="en-GB"/>
        </w:rPr>
        <w:t>E3 decreases the low aqueous content mixing activity of GABARAP and GABARAPL1. Representative curves of aqueous content</w:t>
      </w:r>
      <w:r w:rsidR="00737F73" w:rsidRPr="00D813D6">
        <w:rPr>
          <w:rFonts w:ascii="Times New Roman" w:hAnsi="Times New Roman" w:cs="Times New Roman"/>
          <w:sz w:val="16"/>
          <w:lang w:val="en-GB"/>
        </w:rPr>
        <w:t>s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 mixing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activities induced by lipidated GABARAP (</w:t>
      </w:r>
      <w:r>
        <w:rPr>
          <w:rFonts w:ascii="Times New Roman" w:hAnsi="Times New Roman" w:cs="Times New Roman"/>
          <w:sz w:val="16"/>
          <w:lang w:val="en-US"/>
        </w:rPr>
        <w:t>a</w:t>
      </w:r>
      <w:r w:rsidR="00005D7C" w:rsidRPr="00D813D6">
        <w:rPr>
          <w:rFonts w:ascii="Times New Roman" w:hAnsi="Times New Roman" w:cs="Times New Roman"/>
          <w:sz w:val="16"/>
          <w:lang w:val="en-US"/>
        </w:rPr>
        <w:t>) and GABARAPL1 (</w:t>
      </w:r>
      <w:r w:rsidRPr="00D813D6">
        <w:rPr>
          <w:rFonts w:ascii="Times New Roman" w:hAnsi="Times New Roman" w:cs="Times New Roman"/>
          <w:iCs/>
          <w:sz w:val="16"/>
          <w:lang w:val="en-US"/>
        </w:rPr>
        <w:t>b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) in the absence (-E3, grey) and presence (+E3, green) of the E3 complex was monitored by the ANTS/DPX mixing assay. 0.4 mM ANTS and DPX liposomes (1:1) were mixed with 0.5 µM ATG7, 1 µM ATG3,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and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5 µM of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the pertinent LC3/GABARAP-family member, ATP was added after 4 min. </w:t>
      </w:r>
      <w:r w:rsidR="00005D7C" w:rsidRPr="00D813D6">
        <w:rPr>
          <w:rFonts w:ascii="Times New Roman" w:hAnsi="Times New Roman" w:cs="Times New Roman"/>
          <w:sz w:val="16"/>
          <w:lang w:val="en-US"/>
        </w:rPr>
        <w:t>100% mixing was determined using LUVs containing co-encapsulated ANTS and DPX.</w:t>
      </w:r>
      <w:r w:rsidR="00005D7C" w:rsidRPr="00D813D6">
        <w:rPr>
          <w:sz w:val="16"/>
          <w:lang w:val="en-US"/>
        </w:rPr>
        <w:t xml:space="preserve"> </w:t>
      </w:r>
    </w:p>
    <w:p w14:paraId="7D037A3E" w14:textId="77777777" w:rsidR="00005D7C" w:rsidRPr="00D244C2" w:rsidRDefault="00005D7C">
      <w:pPr>
        <w:jc w:val="left"/>
        <w:rPr>
          <w:lang w:val="en-US"/>
        </w:rPr>
      </w:pPr>
      <w:r w:rsidRPr="00D244C2">
        <w:rPr>
          <w:lang w:val="en-US"/>
        </w:rPr>
        <w:br w:type="page"/>
      </w:r>
    </w:p>
    <w:p w14:paraId="0975A13A" w14:textId="77777777" w:rsidR="00005D7C" w:rsidRPr="00D244C2" w:rsidRDefault="00005D7C">
      <w:pPr>
        <w:rPr>
          <w:lang w:val="en-US"/>
        </w:rPr>
      </w:pPr>
      <w:r w:rsidRPr="00D244C2">
        <w:rPr>
          <w:noProof/>
          <w:lang w:eastAsia="es-ES"/>
        </w:rPr>
        <w:lastRenderedPageBreak/>
        <w:drawing>
          <wp:inline distT="0" distB="0" distL="0" distR="0" wp14:anchorId="5A913EDE" wp14:editId="1125B38D">
            <wp:extent cx="5400040" cy="5400040"/>
            <wp:effectExtent l="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D590" w14:textId="27C04E11" w:rsidR="00005D7C" w:rsidRPr="00D813D6" w:rsidRDefault="00D813D6" w:rsidP="00005D7C">
      <w:pPr>
        <w:rPr>
          <w:sz w:val="16"/>
          <w:lang w:val="en-US"/>
        </w:rPr>
      </w:pPr>
      <w:r w:rsidRPr="00D813D6">
        <w:rPr>
          <w:b/>
          <w:bCs/>
          <w:sz w:val="16"/>
          <w:lang w:val="en-GB"/>
        </w:rPr>
        <w:t>Supp. Fig.</w:t>
      </w:r>
      <w:r w:rsidR="00DF085A" w:rsidRPr="00D813D6">
        <w:rPr>
          <w:b/>
          <w:bCs/>
          <w:sz w:val="16"/>
          <w:lang w:val="en-GB"/>
        </w:rPr>
        <w:t xml:space="preserve"> </w:t>
      </w:r>
      <w:r w:rsidR="00005D7C" w:rsidRPr="00D813D6">
        <w:rPr>
          <w:b/>
          <w:bCs/>
          <w:sz w:val="16"/>
          <w:lang w:val="en-GB"/>
        </w:rPr>
        <w:t xml:space="preserve">7.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GABARAPL1 ability to tether and fuse vesicles in the absence of E3 complex,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analyzed by cryo-EM. A gallery of cryo-EM images obtained under the condition “-E3, +ATP”. 0.5 µM ATG7, 1 µM ATG3,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and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5 µM GABARAPL1 were mixed with 0.4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mM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LUVs (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ePC:DOPE:PI:DOG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(33:55:10:2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mol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ratio)) and, after ATP addition, they were incubated at 37°C for 90 min. Arrows point to the</w:t>
      </w:r>
      <w:r w:rsidRPr="00D813D6">
        <w:rPr>
          <w:rFonts w:ascii="Times New Roman" w:hAnsi="Times New Roman" w:cs="Times New Roman"/>
          <w:sz w:val="16"/>
          <w:lang w:val="en-US"/>
        </w:rPr>
        <w:t xml:space="preserve"> specific structures observed. </w:t>
      </w:r>
      <w:proofErr w:type="spellStart"/>
      <w:proofErr w:type="gramStart"/>
      <w:r w:rsidRPr="00D813D6">
        <w:rPr>
          <w:rFonts w:ascii="Times New Roman" w:hAnsi="Times New Roman" w:cs="Times New Roman"/>
          <w:b/>
          <w:sz w:val="16"/>
          <w:lang w:val="en-US"/>
        </w:rPr>
        <w:t>a</w:t>
      </w:r>
      <w:proofErr w:type="spellEnd"/>
      <w:proofErr w:type="gram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Examples of structures evocative of aggregation or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hemifusion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(“triple parallel lines”). </w:t>
      </w:r>
      <w:proofErr w:type="gramStart"/>
      <w:r w:rsidRPr="00D813D6">
        <w:rPr>
          <w:rFonts w:ascii="Times New Roman" w:hAnsi="Times New Roman" w:cs="Times New Roman"/>
          <w:b/>
          <w:sz w:val="16"/>
          <w:lang w:val="en-US"/>
        </w:rPr>
        <w:t>b</w:t>
      </w:r>
      <w:proofErr w:type="gram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Examples of structures evocative of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hemifusion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(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interv</w:t>
      </w:r>
      <w:r w:rsidRPr="00D813D6">
        <w:rPr>
          <w:rFonts w:ascii="Times New Roman" w:hAnsi="Times New Roman" w:cs="Times New Roman"/>
          <w:sz w:val="16"/>
          <w:lang w:val="en-US"/>
        </w:rPr>
        <w:t>esicular</w:t>
      </w:r>
      <w:proofErr w:type="spellEnd"/>
      <w:r w:rsidRPr="00D813D6">
        <w:rPr>
          <w:rFonts w:ascii="Times New Roman" w:hAnsi="Times New Roman" w:cs="Times New Roman"/>
          <w:sz w:val="16"/>
          <w:lang w:val="en-US"/>
        </w:rPr>
        <w:t xml:space="preserve"> discontinuous lines). </w:t>
      </w:r>
      <w:proofErr w:type="gramStart"/>
      <w:r w:rsidRPr="00D813D6">
        <w:rPr>
          <w:rFonts w:ascii="Times New Roman" w:hAnsi="Times New Roman" w:cs="Times New Roman"/>
          <w:b/>
          <w:sz w:val="16"/>
          <w:lang w:val="en-US"/>
        </w:rPr>
        <w:t>c</w:t>
      </w:r>
      <w:proofErr w:type="gramEnd"/>
      <w:r w:rsidRPr="00D813D6">
        <w:rPr>
          <w:rFonts w:ascii="Times New Roman" w:hAnsi="Times New Roman" w:cs="Times New Roman"/>
          <w:sz w:val="16"/>
          <w:lang w:val="en-US"/>
        </w:rPr>
        <w:t xml:space="preserve"> </w:t>
      </w:r>
      <w:r w:rsidR="00005D7C" w:rsidRPr="00D813D6">
        <w:rPr>
          <w:rFonts w:ascii="Times New Roman" w:hAnsi="Times New Roman" w:cs="Times New Roman"/>
          <w:sz w:val="16"/>
          <w:lang w:val="en-US"/>
        </w:rPr>
        <w:t>Examples of structures evocative of fusion (sheets). Bar = 50 nm.</w:t>
      </w:r>
    </w:p>
    <w:p w14:paraId="012B9E3A" w14:textId="77777777" w:rsidR="00005D7C" w:rsidRPr="00D244C2" w:rsidRDefault="00005D7C">
      <w:pPr>
        <w:jc w:val="left"/>
        <w:rPr>
          <w:lang w:val="en-US"/>
        </w:rPr>
      </w:pPr>
      <w:r w:rsidRPr="00D244C2">
        <w:rPr>
          <w:lang w:val="en-US"/>
        </w:rPr>
        <w:br w:type="page"/>
      </w:r>
    </w:p>
    <w:p w14:paraId="0161D14B" w14:textId="77777777" w:rsidR="00005D7C" w:rsidRPr="00D244C2" w:rsidRDefault="00005D7C">
      <w:pPr>
        <w:rPr>
          <w:lang w:val="en-US"/>
        </w:rPr>
      </w:pPr>
      <w:r w:rsidRPr="00D244C2">
        <w:rPr>
          <w:noProof/>
          <w:lang w:eastAsia="es-ES"/>
        </w:rPr>
        <w:lastRenderedPageBreak/>
        <w:drawing>
          <wp:inline distT="0" distB="0" distL="0" distR="0" wp14:anchorId="6E65E716" wp14:editId="565F200A">
            <wp:extent cx="5400040" cy="6251575"/>
            <wp:effectExtent l="0" t="0" r="0" b="0"/>
            <wp:docPr id="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25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6EE65" w14:textId="73BB167F" w:rsidR="00005D7C" w:rsidRPr="00D813D6" w:rsidRDefault="00D813D6" w:rsidP="00005D7C">
      <w:pPr>
        <w:rPr>
          <w:sz w:val="16"/>
          <w:lang w:val="en-US"/>
        </w:rPr>
      </w:pPr>
      <w:r w:rsidRPr="00D813D6">
        <w:rPr>
          <w:b/>
          <w:bCs/>
          <w:sz w:val="16"/>
          <w:lang w:val="en-GB"/>
        </w:rPr>
        <w:t xml:space="preserve">Supp. Fig. </w:t>
      </w:r>
      <w:r w:rsidR="00005D7C" w:rsidRPr="00D813D6">
        <w:rPr>
          <w:b/>
          <w:bCs/>
          <w:sz w:val="16"/>
          <w:lang w:val="en-GB"/>
        </w:rPr>
        <w:t xml:space="preserve">8.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GABARAPL1 ability to tether and fuse vesicles in the absence and presence of E3 complex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analyzed by cryo-EM. Additional cryo-EM images of the four conditions analyzed in </w:t>
      </w:r>
      <w:r w:rsidR="00A72C35" w:rsidRPr="00D813D6">
        <w:rPr>
          <w:rFonts w:ascii="Times New Roman" w:hAnsi="Times New Roman" w:cs="Times New Roman"/>
          <w:sz w:val="16"/>
          <w:lang w:val="en-US"/>
        </w:rPr>
        <w:t>Figure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7. </w:t>
      </w:r>
      <w:proofErr w:type="gramStart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0.5 µM ATG7, 1 µM ATG3, </w:t>
      </w:r>
      <w:r w:rsidR="00005D7C" w:rsidRPr="00D813D6">
        <w:rPr>
          <w:rFonts w:ascii="Times New Roman" w:hAnsi="Times New Roman" w:cs="Times New Roman"/>
          <w:sz w:val="16"/>
          <w:lang w:val="en-GB"/>
        </w:rPr>
        <w:t xml:space="preserve">and </w:t>
      </w:r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5 µM GABARAPL1 were mixed with 0.4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mM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LUVs (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ePC:DOPE:PI:DOG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(33:55:10:2 </w:t>
      </w:r>
      <w:proofErr w:type="spellStart"/>
      <w:r w:rsidR="00005D7C" w:rsidRPr="00D813D6">
        <w:rPr>
          <w:rFonts w:ascii="Times New Roman" w:hAnsi="Times New Roman" w:cs="Times New Roman"/>
          <w:sz w:val="16"/>
          <w:lang w:val="en-US"/>
        </w:rPr>
        <w:t>mol</w:t>
      </w:r>
      <w:proofErr w:type="spell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ratio)), in the absence (-E3) or presence (+E3) of 0.1 µM E3 complex and, after addition of buffer (-ATP) or ATP (+ATP), they were incubated at 37°C for 90 min. (</w:t>
      </w:r>
      <w:r w:rsidR="00005D7C" w:rsidRPr="00D813D6">
        <w:rPr>
          <w:rFonts w:ascii="Times New Roman" w:hAnsi="Times New Roman" w:cs="Times New Roman"/>
          <w:i/>
          <w:iCs/>
          <w:sz w:val="16"/>
          <w:lang w:val="en-US"/>
        </w:rPr>
        <w:t>A-D</w:t>
      </w:r>
      <w:r w:rsidR="00005D7C" w:rsidRPr="00D813D6">
        <w:rPr>
          <w:rFonts w:ascii="Times New Roman" w:hAnsi="Times New Roman" w:cs="Times New Roman"/>
          <w:sz w:val="16"/>
          <w:lang w:val="en-US"/>
        </w:rPr>
        <w:t>) Cryo-EM images of liposomes after reconstituting GABARAPL1 conjugation reaction.</w:t>
      </w:r>
      <w:proofErr w:type="gram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</w:t>
      </w:r>
      <w:proofErr w:type="spellStart"/>
      <w:proofErr w:type="gramStart"/>
      <w:r w:rsidRPr="00D813D6">
        <w:rPr>
          <w:rFonts w:ascii="Times New Roman" w:hAnsi="Times New Roman" w:cs="Times New Roman"/>
          <w:b/>
          <w:sz w:val="16"/>
          <w:lang w:val="en-US"/>
        </w:rPr>
        <w:t>a</w:t>
      </w:r>
      <w:proofErr w:type="spellEnd"/>
      <w:proofErr w:type="gramEnd"/>
      <w:r w:rsidRPr="00D813D6">
        <w:rPr>
          <w:rFonts w:ascii="Times New Roman" w:hAnsi="Times New Roman" w:cs="Times New Roman"/>
          <w:sz w:val="16"/>
          <w:lang w:val="en-US"/>
        </w:rPr>
        <w:t xml:space="preserve"> In the absence of E3 and ATP. </w:t>
      </w:r>
      <w:proofErr w:type="gramStart"/>
      <w:r w:rsidRPr="00D813D6">
        <w:rPr>
          <w:rFonts w:ascii="Times New Roman" w:hAnsi="Times New Roman" w:cs="Times New Roman"/>
          <w:b/>
          <w:sz w:val="16"/>
          <w:lang w:val="en-US"/>
        </w:rPr>
        <w:t>b</w:t>
      </w:r>
      <w:proofErr w:type="gram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In the absence of E3 but in the presence of ATP. </w:t>
      </w:r>
      <w:proofErr w:type="gramStart"/>
      <w:r w:rsidRPr="00D813D6">
        <w:rPr>
          <w:rFonts w:ascii="Times New Roman" w:hAnsi="Times New Roman" w:cs="Times New Roman"/>
          <w:b/>
          <w:sz w:val="16"/>
          <w:lang w:val="en-US"/>
        </w:rPr>
        <w:t>c</w:t>
      </w:r>
      <w:proofErr w:type="gram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In the presence of E3 but in the absence of ATP.</w:t>
      </w:r>
      <w:r w:rsidRPr="00D813D6">
        <w:rPr>
          <w:rFonts w:ascii="Times New Roman" w:hAnsi="Times New Roman" w:cs="Times New Roman"/>
          <w:sz w:val="16"/>
          <w:lang w:val="en-US"/>
        </w:rPr>
        <w:t xml:space="preserve"> </w:t>
      </w:r>
      <w:proofErr w:type="gramStart"/>
      <w:r w:rsidRPr="00D813D6">
        <w:rPr>
          <w:rFonts w:ascii="Times New Roman" w:hAnsi="Times New Roman" w:cs="Times New Roman"/>
          <w:b/>
          <w:sz w:val="16"/>
          <w:lang w:val="en-US"/>
        </w:rPr>
        <w:t>d</w:t>
      </w:r>
      <w:proofErr w:type="gramEnd"/>
      <w:r w:rsidR="00005D7C" w:rsidRPr="00D813D6">
        <w:rPr>
          <w:rFonts w:ascii="Times New Roman" w:hAnsi="Times New Roman" w:cs="Times New Roman"/>
          <w:sz w:val="16"/>
          <w:lang w:val="en-US"/>
        </w:rPr>
        <w:t xml:space="preserve"> In the presence of both E3 and ATP. Bar = 100 nm.</w:t>
      </w:r>
    </w:p>
    <w:p w14:paraId="3F14501C" w14:textId="77777777" w:rsidR="00715597" w:rsidRPr="00D244C2" w:rsidRDefault="00715597">
      <w:pPr>
        <w:jc w:val="left"/>
        <w:rPr>
          <w:lang w:val="en-US"/>
        </w:rPr>
      </w:pPr>
      <w:r w:rsidRPr="00D244C2">
        <w:rPr>
          <w:lang w:val="en-US"/>
        </w:rPr>
        <w:br w:type="page"/>
      </w:r>
    </w:p>
    <w:p w14:paraId="095218FB" w14:textId="054C9A18" w:rsidR="00715597" w:rsidRPr="00D244C2" w:rsidRDefault="00DF085A" w:rsidP="00715597">
      <w:pPr>
        <w:rPr>
          <w:lang w:val="en-US"/>
        </w:rPr>
      </w:pPr>
      <w:r>
        <w:rPr>
          <w:b/>
          <w:bCs/>
          <w:lang w:val="en-US"/>
        </w:rPr>
        <w:lastRenderedPageBreak/>
        <w:t>S</w:t>
      </w:r>
      <w:r w:rsidR="00D813D6">
        <w:rPr>
          <w:b/>
          <w:bCs/>
          <w:lang w:val="en-US"/>
        </w:rPr>
        <w:t>upp.</w:t>
      </w:r>
      <w:r>
        <w:rPr>
          <w:b/>
          <w:bCs/>
          <w:lang w:val="en-US"/>
        </w:rPr>
        <w:t xml:space="preserve"> Table </w:t>
      </w:r>
      <w:r w:rsidR="00715597" w:rsidRPr="00D244C2">
        <w:rPr>
          <w:b/>
          <w:bCs/>
          <w:lang w:val="en-US"/>
        </w:rPr>
        <w:t xml:space="preserve">1. </w:t>
      </w:r>
      <w:r w:rsidR="00715597" w:rsidRPr="00D813D6">
        <w:rPr>
          <w:rFonts w:ascii="Times New Roman" w:hAnsi="Times New Roman" w:cs="Times New Roman"/>
          <w:lang w:val="en-US"/>
        </w:rPr>
        <w:t>List of protein constructs used in this work: vector, expression system, detailed protein encoded, and reference study</w:t>
      </w:r>
    </w:p>
    <w:p w14:paraId="2D95060A" w14:textId="77777777" w:rsidR="003C69B6" w:rsidRPr="00766506" w:rsidRDefault="00766506">
      <w:pPr>
        <w:rPr>
          <w:lang w:val="en-US"/>
        </w:rPr>
      </w:pPr>
      <w:r w:rsidRPr="00D244C2">
        <w:rPr>
          <w:noProof/>
          <w:lang w:eastAsia="es-ES"/>
        </w:rPr>
        <w:drawing>
          <wp:inline distT="0" distB="0" distL="0" distR="0" wp14:anchorId="1A5D12F3" wp14:editId="7FACBCA8">
            <wp:extent cx="5400040" cy="274764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 S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47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9B6" w:rsidRPr="007665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7C"/>
    <w:rsid w:val="00005D7C"/>
    <w:rsid w:val="000F56B5"/>
    <w:rsid w:val="000F77C7"/>
    <w:rsid w:val="001172D4"/>
    <w:rsid w:val="00154A21"/>
    <w:rsid w:val="002D7467"/>
    <w:rsid w:val="003C69B6"/>
    <w:rsid w:val="00411DF5"/>
    <w:rsid w:val="004B452C"/>
    <w:rsid w:val="00520892"/>
    <w:rsid w:val="00715597"/>
    <w:rsid w:val="00737F73"/>
    <w:rsid w:val="00766506"/>
    <w:rsid w:val="00876BB4"/>
    <w:rsid w:val="00A72C35"/>
    <w:rsid w:val="00A903E2"/>
    <w:rsid w:val="00D244C2"/>
    <w:rsid w:val="00D813D6"/>
    <w:rsid w:val="00DF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A27FB"/>
  <w15:chartTrackingRefBased/>
  <w15:docId w15:val="{798E9E25-55FA-436D-A84B-CB71211C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5D7C"/>
    <w:pPr>
      <w:jc w:val="both"/>
    </w:pPr>
    <w:rPr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862</Words>
  <Characters>4741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UPV/EHU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IRIONDO</dc:creator>
  <cp:keywords/>
  <dc:description/>
  <cp:lastModifiedBy>FELIX MARIA GOÑI</cp:lastModifiedBy>
  <cp:revision>2</cp:revision>
  <dcterms:created xsi:type="dcterms:W3CDTF">2022-08-03T08:28:00Z</dcterms:created>
  <dcterms:modified xsi:type="dcterms:W3CDTF">2022-08-03T08:28:00Z</dcterms:modified>
</cp:coreProperties>
</file>