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B9A" w:rsidRDefault="00571B9A" w:rsidP="00571B9A">
      <w:pPr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t xml:space="preserve">Supplementary information </w:t>
      </w:r>
    </w:p>
    <w:p w:rsidR="00571B9A" w:rsidRDefault="00571B9A" w:rsidP="00571B9A">
      <w:pPr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</w:p>
    <w:p w:rsidR="005222AE" w:rsidRDefault="005222AE" w:rsidP="005222AE">
      <w:pPr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t>Supplementary Table 1</w:t>
      </w:r>
      <w:r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.</w:t>
      </w:r>
      <w:r w:rsidR="001A53D5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</w:t>
      </w:r>
      <w:r w:rsidR="00636467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S</w:t>
      </w:r>
      <w:r w:rsidR="00636467" w:rsidRPr="00636467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pecification</w:t>
      </w:r>
      <w:r w:rsidR="00636467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s</w:t>
      </w:r>
      <w:r w:rsidR="001A53D5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of used antibodies</w:t>
      </w:r>
      <w:r w:rsidR="004F3AED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.</w:t>
      </w:r>
      <w:r w:rsidR="001A53D5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</w:t>
      </w:r>
    </w:p>
    <w:p w:rsidR="005222AE" w:rsidRDefault="005222AE" w:rsidP="00571B9A">
      <w:pPr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71"/>
        <w:gridCol w:w="951"/>
        <w:gridCol w:w="2126"/>
        <w:gridCol w:w="2617"/>
        <w:gridCol w:w="1629"/>
      </w:tblGrid>
      <w:tr w:rsidR="005222AE" w:rsidTr="005222AE">
        <w:tc>
          <w:tcPr>
            <w:tcW w:w="1171" w:type="dxa"/>
          </w:tcPr>
          <w:p w:rsidR="005222AE" w:rsidRPr="001575DF" w:rsidRDefault="005222AE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1" w:type="dxa"/>
          </w:tcPr>
          <w:p w:rsidR="005222AE" w:rsidRPr="001575DF" w:rsidRDefault="005222AE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Antigen</w:t>
            </w:r>
          </w:p>
        </w:tc>
        <w:tc>
          <w:tcPr>
            <w:tcW w:w="2126" w:type="dxa"/>
          </w:tcPr>
          <w:p w:rsidR="005222AE" w:rsidRPr="001575DF" w:rsidRDefault="005222AE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Immunogen</w:t>
            </w:r>
          </w:p>
        </w:tc>
        <w:tc>
          <w:tcPr>
            <w:tcW w:w="2617" w:type="dxa"/>
          </w:tcPr>
          <w:p w:rsidR="005222AE" w:rsidRPr="001575DF" w:rsidRDefault="005222AE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Manufacturer, species, mono- or polyclonal, catalog or lot No., RRID</w:t>
            </w:r>
          </w:p>
        </w:tc>
        <w:tc>
          <w:tcPr>
            <w:tcW w:w="1629" w:type="dxa"/>
          </w:tcPr>
          <w:p w:rsidR="005222AE" w:rsidRPr="001575DF" w:rsidRDefault="005222AE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Dilution used</w:t>
            </w:r>
          </w:p>
        </w:tc>
      </w:tr>
      <w:tr w:rsidR="004F3AED" w:rsidTr="005222AE">
        <w:tc>
          <w:tcPr>
            <w:tcW w:w="1171" w:type="dxa"/>
            <w:vMerge w:val="restart"/>
          </w:tcPr>
          <w:p w:rsidR="004F3AED" w:rsidRPr="001575DF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Primary antibodies</w:t>
            </w:r>
          </w:p>
        </w:tc>
        <w:tc>
          <w:tcPr>
            <w:tcW w:w="951" w:type="dxa"/>
          </w:tcPr>
          <w:p w:rsidR="004F3AED" w:rsidRPr="001575DF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FoxP2</w:t>
            </w:r>
          </w:p>
        </w:tc>
        <w:tc>
          <w:tcPr>
            <w:tcW w:w="2126" w:type="dxa"/>
          </w:tcPr>
          <w:p w:rsidR="004F3AED" w:rsidRPr="001575DF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Synthetic peptide derived from C-terminal amino acids of isoforms I, II, IV, and V of human FOXP2: REIEEEPLSEDLE</w:t>
            </w:r>
          </w:p>
        </w:tc>
        <w:tc>
          <w:tcPr>
            <w:tcW w:w="2617" w:type="dxa"/>
          </w:tcPr>
          <w:p w:rsidR="004F3AED" w:rsidRPr="00CB375A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CB375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Everest Biotech, goat polyclonal, Cat.# EB05226, Lot # 160409, RRID: AB_2107112</w:t>
            </w:r>
          </w:p>
        </w:tc>
        <w:tc>
          <w:tcPr>
            <w:tcW w:w="1629" w:type="dxa"/>
          </w:tcPr>
          <w:p w:rsidR="004F3AED" w:rsidRPr="00CB375A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CB375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1:5000</w:t>
            </w:r>
          </w:p>
        </w:tc>
      </w:tr>
      <w:tr w:rsidR="004F3AED" w:rsidTr="005222AE">
        <w:tc>
          <w:tcPr>
            <w:tcW w:w="1171" w:type="dxa"/>
            <w:vMerge/>
          </w:tcPr>
          <w:p w:rsidR="004F3AED" w:rsidRPr="001575DF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1" w:type="dxa"/>
          </w:tcPr>
          <w:p w:rsidR="004F3AED" w:rsidRPr="001575DF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FoxP2</w:t>
            </w:r>
          </w:p>
        </w:tc>
        <w:tc>
          <w:tcPr>
            <w:tcW w:w="2126" w:type="dxa"/>
          </w:tcPr>
          <w:p w:rsidR="004F3AED" w:rsidRPr="001575DF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Full length protein corresponding to human FOXP2</w:t>
            </w:r>
          </w:p>
        </w:tc>
        <w:tc>
          <w:tcPr>
            <w:tcW w:w="2617" w:type="dxa"/>
          </w:tcPr>
          <w:p w:rsidR="004F3AED" w:rsidRPr="00CB375A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Abcam, mouse monoclonal, ab172320</w:t>
            </w:r>
          </w:p>
        </w:tc>
        <w:tc>
          <w:tcPr>
            <w:tcW w:w="1629" w:type="dxa"/>
          </w:tcPr>
          <w:p w:rsidR="004F3AED" w:rsidRPr="00CB375A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CB375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1:1000</w:t>
            </w:r>
          </w:p>
        </w:tc>
      </w:tr>
      <w:tr w:rsidR="004F3AED" w:rsidTr="005222AE">
        <w:tc>
          <w:tcPr>
            <w:tcW w:w="1171" w:type="dxa"/>
            <w:vMerge/>
          </w:tcPr>
          <w:p w:rsidR="004F3AED" w:rsidRPr="001575DF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1" w:type="dxa"/>
          </w:tcPr>
          <w:p w:rsidR="004F3AED" w:rsidRPr="001575DF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Pcdh10</w:t>
            </w:r>
          </w:p>
        </w:tc>
        <w:tc>
          <w:tcPr>
            <w:tcW w:w="2126" w:type="dxa"/>
          </w:tcPr>
          <w:p w:rsidR="004F3AED" w:rsidRPr="001575DF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The cytoplasmic domain of the OL-</w:t>
            </w:r>
            <w:r w:rsidRPr="001567D4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protocadherin</w:t>
            </w:r>
            <w:r w:rsidRPr="001575DF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isoform</w:t>
            </w:r>
          </w:p>
        </w:tc>
        <w:tc>
          <w:tcPr>
            <w:tcW w:w="2617" w:type="dxa"/>
          </w:tcPr>
          <w:p w:rsidR="004F3AED" w:rsidRPr="00CB375A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CB375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Millipore, rat monoclonal, clone 5G10, Cat. # MABT20, Lot # NRG1759424, RRID:AB_10807416</w:t>
            </w:r>
          </w:p>
        </w:tc>
        <w:tc>
          <w:tcPr>
            <w:tcW w:w="1629" w:type="dxa"/>
          </w:tcPr>
          <w:p w:rsidR="004F3AED" w:rsidRPr="00CB375A" w:rsidRDefault="004F3AED" w:rsidP="001567D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CB375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1:1600</w:t>
            </w:r>
          </w:p>
        </w:tc>
      </w:tr>
      <w:tr w:rsidR="004F3AED" w:rsidTr="005222AE">
        <w:tc>
          <w:tcPr>
            <w:tcW w:w="1171" w:type="dxa"/>
            <w:vMerge w:val="restart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Secondary antibodies</w:t>
            </w:r>
          </w:p>
        </w:tc>
        <w:tc>
          <w:tcPr>
            <w:tcW w:w="3077" w:type="dxa"/>
            <w:gridSpan w:val="2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Anti-goat IgG, Alexa Fluor 488-conjugated</w:t>
            </w:r>
          </w:p>
        </w:tc>
        <w:tc>
          <w:tcPr>
            <w:tcW w:w="2617" w:type="dxa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Jackson ImmunoResearch, donkey, Cat. # 705-545-147</w:t>
            </w:r>
          </w:p>
        </w:tc>
        <w:tc>
          <w:tcPr>
            <w:tcW w:w="1629" w:type="dxa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1:333</w:t>
            </w:r>
          </w:p>
        </w:tc>
      </w:tr>
      <w:tr w:rsidR="004F3AED" w:rsidTr="005222AE">
        <w:tc>
          <w:tcPr>
            <w:tcW w:w="1171" w:type="dxa"/>
            <w:vMerge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7" w:type="dxa"/>
            <w:gridSpan w:val="2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Anti-mouse IgG, Alexa Fluor 647-conjugated</w:t>
            </w:r>
          </w:p>
        </w:tc>
        <w:tc>
          <w:tcPr>
            <w:tcW w:w="2617" w:type="dxa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Jackson ImmunoResearch, donkey, Cat. # 715-605-150</w:t>
            </w:r>
          </w:p>
        </w:tc>
        <w:tc>
          <w:tcPr>
            <w:tcW w:w="1629" w:type="dxa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1:333</w:t>
            </w:r>
          </w:p>
        </w:tc>
      </w:tr>
      <w:tr w:rsidR="004F3AED" w:rsidTr="005222AE">
        <w:tc>
          <w:tcPr>
            <w:tcW w:w="1171" w:type="dxa"/>
            <w:vMerge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7" w:type="dxa"/>
            <w:gridSpan w:val="2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Anti-rat IgG, Alexa Fluor 647-conjugated</w:t>
            </w:r>
          </w:p>
        </w:tc>
        <w:tc>
          <w:tcPr>
            <w:tcW w:w="2617" w:type="dxa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Jackson ImmunoResearch, donkey, Cat. # 712-605-150</w:t>
            </w:r>
          </w:p>
        </w:tc>
        <w:tc>
          <w:tcPr>
            <w:tcW w:w="1629" w:type="dxa"/>
          </w:tcPr>
          <w:p w:rsidR="004F3AED" w:rsidRPr="001567D4" w:rsidRDefault="004F3AED" w:rsidP="001567D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67D4">
              <w:rPr>
                <w:rFonts w:ascii="Times New Roman" w:hAnsi="Times New Roman" w:cs="Times New Roman"/>
                <w:sz w:val="18"/>
                <w:szCs w:val="18"/>
              </w:rPr>
              <w:t>1:333</w:t>
            </w:r>
          </w:p>
        </w:tc>
      </w:tr>
    </w:tbl>
    <w:p w:rsidR="005222AE" w:rsidRDefault="005222AE" w:rsidP="00571B9A">
      <w:pPr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</w:p>
    <w:p w:rsidR="005222AE" w:rsidRDefault="005222AE" w:rsidP="00571B9A">
      <w:pPr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</w:p>
    <w:p w:rsidR="0031357B" w:rsidRDefault="0031357B">
      <w:pPr>
        <w:widowControl/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br w:type="page"/>
      </w:r>
    </w:p>
    <w:p w:rsidR="0031357B" w:rsidRPr="00923B06" w:rsidRDefault="0031357B" w:rsidP="0031357B">
      <w:pPr>
        <w:rPr>
          <w:rFonts w:ascii="Times New Roman" w:hAnsi="Times New Roman" w:cs="Times New Roman"/>
          <w:sz w:val="24"/>
          <w:szCs w:val="24"/>
        </w:rPr>
      </w:pPr>
      <w:r w:rsidRPr="00923B06">
        <w:rPr>
          <w:rFonts w:ascii="Times New Roman" w:hAnsi="Times New Roman" w:cs="Times New Roman"/>
          <w:b/>
          <w:sz w:val="24"/>
          <w:szCs w:val="24"/>
        </w:rPr>
        <w:lastRenderedPageBreak/>
        <w:t>Supplementary Table 2.</w:t>
      </w:r>
      <w:r w:rsidRPr="00923B06">
        <w:rPr>
          <w:rFonts w:ascii="Times New Roman" w:hAnsi="Times New Roman" w:cs="Times New Roman"/>
          <w:sz w:val="24"/>
          <w:szCs w:val="24"/>
        </w:rPr>
        <w:t xml:space="preserve"> </w:t>
      </w:r>
      <w:r w:rsidR="00BA0234" w:rsidRPr="00923B06">
        <w:rPr>
          <w:rFonts w:ascii="Times New Roman" w:hAnsi="Times New Roman" w:cs="Times New Roman"/>
          <w:sz w:val="24"/>
          <w:szCs w:val="24"/>
        </w:rPr>
        <w:t>The number</w:t>
      </w:r>
      <w:r w:rsidRPr="00923B06">
        <w:rPr>
          <w:rFonts w:ascii="Times New Roman" w:hAnsi="Times New Roman" w:cs="Times New Roman"/>
          <w:sz w:val="24"/>
          <w:szCs w:val="24"/>
        </w:rPr>
        <w:t xml:space="preserve"> of labeled neurons in the </w:t>
      </w:r>
      <w:r w:rsidR="00622D2C">
        <w:rPr>
          <w:rFonts w:ascii="Times New Roman" w:hAnsi="Times New Roman" w:cs="Times New Roman"/>
          <w:sz w:val="24"/>
          <w:szCs w:val="24"/>
        </w:rPr>
        <w:t>IO</w:t>
      </w:r>
      <w:r w:rsidRPr="00923B06">
        <w:rPr>
          <w:rFonts w:ascii="Times New Roman" w:hAnsi="Times New Roman" w:cs="Times New Roman"/>
          <w:sz w:val="24"/>
          <w:szCs w:val="24"/>
        </w:rPr>
        <w:t xml:space="preserve"> subdivisions in G2A::Ai9 mice with tamoxifen injection at different embryonic dates. </w:t>
      </w:r>
    </w:p>
    <w:tbl>
      <w:tblPr>
        <w:tblStyle w:val="a7"/>
        <w:tblW w:w="9398" w:type="dxa"/>
        <w:tblLayout w:type="fixed"/>
        <w:tblLook w:val="04A0" w:firstRow="1" w:lastRow="0" w:firstColumn="1" w:lastColumn="0" w:noHBand="0" w:noVBand="1"/>
      </w:tblPr>
      <w:tblGrid>
        <w:gridCol w:w="656"/>
        <w:gridCol w:w="656"/>
        <w:gridCol w:w="526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83"/>
        <w:gridCol w:w="426"/>
        <w:gridCol w:w="472"/>
      </w:tblGrid>
      <w:tr w:rsidR="001A53D5" w:rsidRPr="00AD6788" w:rsidTr="001A53D5">
        <w:trPr>
          <w:cantSplit/>
          <w:trHeight w:val="907"/>
        </w:trPr>
        <w:tc>
          <w:tcPr>
            <w:tcW w:w="656" w:type="dxa"/>
            <w:noWrap/>
            <w:tcMar>
              <w:left w:w="28" w:type="dxa"/>
              <w:right w:w="28" w:type="dxa"/>
            </w:tcMar>
            <w:textDirection w:val="btLr"/>
          </w:tcPr>
          <w:p w:rsidR="0031357B" w:rsidRPr="00923B06" w:rsidRDefault="0031357B" w:rsidP="0031357B">
            <w:pPr>
              <w:widowControl/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Tam timing</w:t>
            </w:r>
          </w:p>
        </w:tc>
        <w:tc>
          <w:tcPr>
            <w:tcW w:w="656" w:type="dxa"/>
            <w:noWrap/>
            <w:tcMar>
              <w:left w:w="28" w:type="dxa"/>
              <w:right w:w="28" w:type="dxa"/>
            </w:tcMar>
            <w:textDirection w:val="btLr"/>
          </w:tcPr>
          <w:p w:rsidR="0031357B" w:rsidRPr="00923B06" w:rsidRDefault="0031357B" w:rsidP="0031357B">
            <w:pPr>
              <w:widowControl/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Mouse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widowControl/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Subdivisions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widowControl/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cMAO-a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0E78B8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c</w:t>
            </w:r>
            <w:r w:rsidR="0031357B"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MAO-b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0E78B8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c</w:t>
            </w:r>
            <w:r w:rsidR="0031357B"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MAO-c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Beta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DC/VLO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dDAO, medial</w:t>
            </w:r>
          </w:p>
        </w:tc>
        <w:tc>
          <w:tcPr>
            <w:tcW w:w="425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dDAO, lateral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vDAO, medial</w:t>
            </w:r>
          </w:p>
        </w:tc>
        <w:tc>
          <w:tcPr>
            <w:tcW w:w="425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vDAO, interm.</w:t>
            </w:r>
          </w:p>
        </w:tc>
        <w:tc>
          <w:tcPr>
            <w:tcW w:w="426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vDAO, lateral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dPO, medial</w:t>
            </w:r>
          </w:p>
        </w:tc>
        <w:tc>
          <w:tcPr>
            <w:tcW w:w="425" w:type="dxa"/>
            <w:noWrap/>
            <w:tcMar>
              <w:left w:w="0" w:type="dxa"/>
              <w:right w:w="0" w:type="dxa"/>
            </w:tcMar>
            <w:textDirection w:val="btL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dPO, lateral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vPO, medial</w:t>
            </w:r>
          </w:p>
        </w:tc>
        <w:tc>
          <w:tcPr>
            <w:tcW w:w="426" w:type="dxa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vPO, lateral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DM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DMCC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rMAO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:rsidR="0031357B" w:rsidRPr="00923B06" w:rsidRDefault="0031357B" w:rsidP="0031357B">
            <w:pPr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</w:pPr>
            <w:r w:rsidRPr="00923B06">
              <w:rPr>
                <w:rFonts w:ascii="Times New Roman" w:eastAsia="游明朝" w:hAnsi="Times New Roman" w:cs="Times New Roman"/>
                <w:color w:val="000000"/>
                <w:sz w:val="12"/>
                <w:szCs w:val="12"/>
              </w:rPr>
              <w:t>Total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E9.5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HG11b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E10.0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HG07a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  <w:r w:rsidRPr="00923B06"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  <w:t>2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  <w:r w:rsidRPr="00923B06"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  <w:t>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  <w:r w:rsidRPr="00923B06"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  <w:t>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221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324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E10.0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HG07b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204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180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E10.5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HG02a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93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134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95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1037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127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107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105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1068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E10.5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HG02b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159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1076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74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131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425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113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426" w:type="dxa"/>
            <w:noWrap/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1061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E11.0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HG22a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425" w:type="dxa"/>
            <w:noWrap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151</w:t>
            </w:r>
          </w:p>
        </w:tc>
        <w:tc>
          <w:tcPr>
            <w:tcW w:w="425" w:type="dxa"/>
            <w:noWrap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141</w:t>
            </w:r>
          </w:p>
        </w:tc>
        <w:tc>
          <w:tcPr>
            <w:tcW w:w="426" w:type="dxa"/>
            <w:noWrap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425" w:type="dxa"/>
            <w:noWrap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167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426" w:type="dxa"/>
            <w:noWrap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89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92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1560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117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110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141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111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149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106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1460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E11.0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HG04c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525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501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E11.5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HG03b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176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76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101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142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897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226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165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92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131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156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1121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E11.5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HG03c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95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488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95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492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E12.0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HG05a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E12.0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HG05b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E12.5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HG01a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E13.0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HG08c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636467">
            <w:pPr>
              <w:spacing w:line="22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All IO Neurons</w:t>
            </w:r>
          </w:p>
        </w:tc>
        <w:tc>
          <w:tcPr>
            <w:tcW w:w="65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4F3AED">
            <w:pPr>
              <w:ind w:left="840" w:hanging="8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HG03b</w:t>
            </w: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Left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582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1852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1003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701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472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400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245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974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837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714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585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848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649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405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1011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115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1328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12721</w:t>
            </w:r>
          </w:p>
        </w:tc>
      </w:tr>
      <w:tr w:rsidR="00622D2C" w:rsidRPr="00AD6788" w:rsidTr="001A53D5">
        <w:trPr>
          <w:trHeight w:val="170"/>
        </w:trPr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noWrap/>
            <w:tcMar>
              <w:left w:w="28" w:type="dxa"/>
              <w:right w:w="28" w:type="dxa"/>
            </w:tcMar>
            <w:vAlign w:val="center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749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1876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1381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694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383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427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177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826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999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620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607</w:t>
            </w:r>
          </w:p>
        </w:tc>
        <w:tc>
          <w:tcPr>
            <w:tcW w:w="425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576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685</w:t>
            </w:r>
          </w:p>
        </w:tc>
        <w:tc>
          <w:tcPr>
            <w:tcW w:w="426" w:type="dxa"/>
            <w:noWrap/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343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990</w:t>
            </w:r>
          </w:p>
        </w:tc>
        <w:tc>
          <w:tcPr>
            <w:tcW w:w="283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133</w:t>
            </w:r>
          </w:p>
        </w:tc>
        <w:tc>
          <w:tcPr>
            <w:tcW w:w="426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1283</w:t>
            </w:r>
          </w:p>
        </w:tc>
        <w:tc>
          <w:tcPr>
            <w:tcW w:w="472" w:type="dxa"/>
            <w:noWrap/>
            <w:tcMar>
              <w:left w:w="28" w:type="dxa"/>
              <w:right w:w="28" w:type="dxa"/>
            </w:tcMar>
            <w:vAlign w:val="bottom"/>
          </w:tcPr>
          <w:p w:rsidR="00622D2C" w:rsidRPr="00923B06" w:rsidRDefault="00622D2C" w:rsidP="003135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23B06">
              <w:rPr>
                <w:rFonts w:ascii="Times New Roman" w:hAnsi="Times New Roman" w:cs="Times New Roman"/>
                <w:sz w:val="12"/>
                <w:szCs w:val="12"/>
              </w:rPr>
              <w:t>12749</w:t>
            </w:r>
          </w:p>
        </w:tc>
      </w:tr>
    </w:tbl>
    <w:p w:rsidR="0031357B" w:rsidRPr="00923B06" w:rsidRDefault="0031357B" w:rsidP="0031357B">
      <w:pPr>
        <w:rPr>
          <w:rFonts w:ascii="Times New Roman" w:hAnsi="Times New Roman" w:cs="Times New Roman"/>
        </w:rPr>
      </w:pPr>
      <w:r w:rsidRPr="00923B06">
        <w:rPr>
          <w:rFonts w:ascii="Times New Roman" w:hAnsi="Times New Roman" w:cs="Times New Roman"/>
        </w:rPr>
        <w:t xml:space="preserve">Counted manually in serial sections immunostained for FoxP2. </w:t>
      </w:r>
      <w:r w:rsidR="001A53D5" w:rsidRPr="00923B06">
        <w:rPr>
          <w:rFonts w:ascii="Times New Roman" w:hAnsi="Times New Roman" w:cs="Times New Roman"/>
        </w:rPr>
        <w:t xml:space="preserve">Tamoxifen injection at E13.5 did not produce any labeling in IO neurons. </w:t>
      </w:r>
    </w:p>
    <w:p w:rsidR="005222AE" w:rsidRDefault="005222AE">
      <w:pPr>
        <w:widowControl/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br w:type="page"/>
      </w:r>
    </w:p>
    <w:p w:rsidR="00571B9A" w:rsidRDefault="000D3010" w:rsidP="00571B9A">
      <w:pPr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lastRenderedPageBreak/>
        <w:t>Supplementary Figure 1</w:t>
      </w:r>
      <w:r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.</w:t>
      </w:r>
    </w:p>
    <w:p w:rsidR="00571B9A" w:rsidRDefault="00571B9A" w:rsidP="00571B9A">
      <w:pPr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</w:p>
    <w:p w:rsidR="00571B9A" w:rsidRDefault="000D3010" w:rsidP="00571B9A">
      <w:pPr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 w:hint="eastAsia"/>
          <w:b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2098</wp:posOffset>
            </wp:positionH>
            <wp:positionV relativeFrom="paragraph">
              <wp:posOffset>93763</wp:posOffset>
            </wp:positionV>
            <wp:extent cx="5400040" cy="1400810"/>
            <wp:effectExtent l="0" t="0" r="0" b="889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Fig1 H2B-G2A Ai9-G2A R2.0.a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1B9A" w:rsidRPr="007F423A" w:rsidRDefault="00571B9A" w:rsidP="0078111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t>Supplementary Figure 1</w:t>
      </w:r>
      <w:r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. 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Sensitivity and specificity of </w:t>
      </w:r>
      <w:r>
        <w:rPr>
          <w:rFonts w:ascii="Times New Roman" w:hAnsi="Times New Roman" w:cs="Times New Roman"/>
          <w:sz w:val="24"/>
          <w:szCs w:val="24"/>
        </w:rPr>
        <w:t>R26R-H2B-mCherry (“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H2B”) </w:t>
      </w:r>
      <w:r>
        <w:rPr>
          <w:rFonts w:ascii="Times New Roman" w:hAnsi="Times New Roman" w:cs="Times New Roman"/>
          <w:sz w:val="24"/>
          <w:szCs w:val="24"/>
        </w:rPr>
        <w:t>reporter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 mice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. (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a, b)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Neuronal labeling in the right IO at the level of 40% from the caudal edge in coronal section</w:t>
      </w:r>
      <w:r w:rsidR="00A16B83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s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of G2A::Ai9::AldocV </w:t>
      </w:r>
      <w:r w:rsidR="00A16B83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(a) and G2A::H2B (b) mice</w:t>
      </w:r>
      <w:r w:rsidR="0013125C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in which tamoxifen was given at E10.5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. </w:t>
      </w:r>
      <w:r w:rsidR="00A67460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Yellow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lines indicate the contour of the IO. White square indicates the area shown in (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c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). </w:t>
      </w:r>
      <w:r w:rsidR="00A16B83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The tdTomato expression in Ai9 strain and the m</w:t>
      </w:r>
      <w:r w:rsidR="004550D9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C</w:t>
      </w:r>
      <w:r w:rsidR="00A16B83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herry expression in H2B strain are shown in magenta pseudo color.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(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c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) Higher magnification of the image of the same section as shown in (</w:t>
      </w:r>
      <w:r w:rsidR="0078111D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b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). </w:t>
      </w:r>
      <w:r w:rsidR="0013125C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The FoxP2 immunostaining signal is shown in red pseudo color, whereas the mCherry H2B reporter signal is shown in cyan pseudo color.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H2B reporter labeling in IO neurons </w:t>
      </w:r>
      <w:r w:rsidR="00BA0234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was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co-localized with the FoxP2 signal (white circles) indicating they are localized in the nucleus. On the contrary, H2B reporter labeling outside the IO </w:t>
      </w:r>
      <w:r w:rsidR="00BA0234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was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not co-localized with the FoxP2 signal (white squares). 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(</w:t>
      </w:r>
      <w:r w:rsidR="0078111D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d</w:t>
      </w:r>
      <w:r w:rsidR="00471374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, </w:t>
      </w:r>
      <w:r w:rsidR="0078111D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e</w:t>
      </w:r>
      <w:r w:rsidR="00471374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)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</w:t>
      </w:r>
      <w:r w:rsidR="00A16B83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Purkinje cell 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labeling in the right simple lobule</w:t>
      </w:r>
      <w:r w:rsidR="0013125C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of the cerebellum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in coronal section</w:t>
      </w:r>
      <w:r w:rsidR="0013125C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s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of G2A::Ai9::AldocV (</w:t>
      </w:r>
      <w:r w:rsidR="0078111D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d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) and G2A::H2B::AldocV (</w:t>
      </w:r>
      <w:r w:rsidR="0078111D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e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)</w:t>
      </w:r>
      <w:r w:rsidR="0013125C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mice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in which tamoxifen was given at </w:t>
      </w:r>
      <w:r w:rsidR="00671CD5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E10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.5. </w:t>
      </w:r>
      <w:r w:rsidR="00A67460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Yellow 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lines indicate boundaries of zebrin stripe 4+. </w:t>
      </w:r>
      <w:r w:rsidR="004550D9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The 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Venus expression of </w:t>
      </w:r>
      <w:r w:rsidR="004550D9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these mice 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is shown in green pseudo color, </w:t>
      </w:r>
      <w:r w:rsidR="004550D9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whereas the 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tdTomato </w:t>
      </w:r>
      <w:r w:rsidR="005D729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Ai9 reporter signal 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in </w:t>
      </w:r>
      <w:r w:rsidR="005D729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the </w:t>
      </w:r>
      <w:r w:rsidR="004550D9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G2A::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Ai9</w:t>
      </w:r>
      <w:r w:rsidR="005D729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::AldocV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</w:t>
      </w:r>
      <w:r w:rsidR="005D729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mouse 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and </w:t>
      </w:r>
      <w:r w:rsidR="005D729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the </w:t>
      </w:r>
      <w:r w:rsidR="0013125C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mCherry 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H2B</w:t>
      </w:r>
      <w:r w:rsidR="005D729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reporter signal in the G2A::H2B::AldocV mouse</w:t>
      </w:r>
      <w:r w:rsidR="00AB277B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are shown in magenta pseudo color.</w:t>
      </w:r>
      <w:r w:rsidR="0078111D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</w:t>
      </w:r>
      <w:r w:rsidR="0078111D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See the separate list for abbreviations.</w:t>
      </w:r>
    </w:p>
    <w:p w:rsidR="00571B9A" w:rsidRDefault="00571B9A" w:rsidP="0078111D">
      <w:pPr>
        <w:widowControl/>
        <w:jc w:val="left"/>
        <w:rPr>
          <w:rFonts w:ascii="Times New Roman" w:hAnsi="Times New Roman"/>
          <w:b/>
          <w:kern w:val="0"/>
          <w:sz w:val="24"/>
        </w:rPr>
      </w:pPr>
    </w:p>
    <w:p w:rsidR="007149A4" w:rsidRDefault="007149A4" w:rsidP="00571B9A">
      <w:pPr>
        <w:widowControl/>
        <w:jc w:val="left"/>
        <w:rPr>
          <w:rFonts w:ascii="Times New Roman" w:hAnsi="Times New Roman"/>
          <w:b/>
          <w:kern w:val="0"/>
          <w:sz w:val="24"/>
        </w:rPr>
      </w:pPr>
    </w:p>
    <w:p w:rsidR="007149A4" w:rsidRDefault="007149A4">
      <w:pPr>
        <w:widowControl/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br w:type="page"/>
      </w:r>
    </w:p>
    <w:p w:rsidR="007149A4" w:rsidRDefault="007149A4" w:rsidP="00571B9A">
      <w:pPr>
        <w:widowControl/>
        <w:jc w:val="left"/>
        <w:rPr>
          <w:rFonts w:ascii="Times New Roman" w:hAnsi="Times New Roman"/>
          <w:b/>
          <w:kern w:val="0"/>
          <w:sz w:val="24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lastRenderedPageBreak/>
        <w:t>Supplementary Figure 2.</w:t>
      </w:r>
    </w:p>
    <w:p w:rsidR="007149A4" w:rsidRDefault="007149A4" w:rsidP="00571B9A">
      <w:pPr>
        <w:widowControl/>
        <w:jc w:val="left"/>
        <w:rPr>
          <w:rFonts w:ascii="Times New Roman" w:hAnsi="Times New Roman"/>
          <w:b/>
          <w:kern w:val="0"/>
          <w:sz w:val="24"/>
        </w:rPr>
      </w:pPr>
    </w:p>
    <w:p w:rsidR="007149A4" w:rsidRPr="00D23681" w:rsidRDefault="007149A4" w:rsidP="00571B9A">
      <w:pPr>
        <w:widowControl/>
        <w:jc w:val="left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 w:hint="eastAsia"/>
          <w:b/>
          <w:noProof/>
          <w:kern w:val="0"/>
          <w:sz w:val="24"/>
        </w:rPr>
        <w:drawing>
          <wp:inline distT="0" distB="0" distL="0" distR="0">
            <wp:extent cx="5400040" cy="4605020"/>
            <wp:effectExtent l="0" t="0" r="0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 Fig2 Immuno Pcdh10 FoxP2 40% R2.0.a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0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B9A" w:rsidRPr="007F423A" w:rsidRDefault="00571B9A" w:rsidP="0078111D">
      <w:pPr>
        <w:widowControl/>
        <w:jc w:val="left"/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t>Supplementary Figure 2</w:t>
      </w:r>
      <w:r w:rsidR="007149A4"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t>.</w:t>
      </w:r>
      <w:r w:rsidRPr="007F423A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 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Marker molecule expression patterns and subdivisions of the IO</w:t>
      </w:r>
      <w:r w:rsidRPr="007F423A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. (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a</w:t>
      </w:r>
      <w:r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–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i</w:t>
      </w:r>
      <w:r w:rsidRPr="007F423A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) Coronal sections 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of the IO immunostained for FoxP2 (green) and Pcdh10 (magenta). Sections are from different caudorostral levels of the IO with</w:t>
      </w:r>
      <w:r w:rsidRPr="007F423A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 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an approximately 10% interva</w:t>
      </w:r>
      <w:r w:rsidRPr="007F423A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l 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in an</w:t>
      </w:r>
      <w:r w:rsidRPr="007F423A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H2B</w:t>
      </w:r>
      <w:r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::Ai9::AldocV m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ouse</w:t>
      </w:r>
      <w:r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at P40–42.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Arrowheads show areas with relatively higher Pcdh10 immunoreactivity</w:t>
      </w:r>
      <w:r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.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(j</w:t>
      </w:r>
      <w:r w:rsidR="00636467"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–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FoxP2 immunostaining with different antibodies (Everest goat </w:t>
      </w:r>
      <w:r w:rsidR="00810836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antibody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in green, </w:t>
      </w:r>
      <w:r w:rsidR="00810836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SantaCruz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mouse monoclonal antibody in magenta) producing virtually the same pattern. </w:t>
      </w:r>
      <w:r w:rsidR="0078111D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See the separate list for abbreviations.</w:t>
      </w:r>
    </w:p>
    <w:p w:rsidR="00571B9A" w:rsidRPr="00D23681" w:rsidRDefault="00571B9A" w:rsidP="0078111D">
      <w:pPr>
        <w:widowControl/>
        <w:jc w:val="left"/>
        <w:rPr>
          <w:rFonts w:ascii="Times New Roman" w:hAnsi="Times New Roman"/>
          <w:b/>
          <w:kern w:val="0"/>
          <w:sz w:val="24"/>
        </w:rPr>
      </w:pPr>
    </w:p>
    <w:p w:rsidR="007149A4" w:rsidRDefault="007149A4">
      <w:pPr>
        <w:widowControl/>
        <w:jc w:val="left"/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br w:type="page"/>
      </w:r>
    </w:p>
    <w:p w:rsidR="00473E97" w:rsidRDefault="00473E97" w:rsidP="00571B9A">
      <w:pPr>
        <w:widowControl/>
        <w:jc w:val="left"/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lastRenderedPageBreak/>
        <w:t>Supplementary Figure 3</w:t>
      </w:r>
      <w:r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. </w:t>
      </w:r>
    </w:p>
    <w:p w:rsidR="00473E97" w:rsidRDefault="00473E97" w:rsidP="00571B9A">
      <w:pPr>
        <w:widowControl/>
        <w:jc w:val="left"/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</w:pPr>
    </w:p>
    <w:p w:rsidR="00473E97" w:rsidRDefault="00473E97" w:rsidP="00571B9A">
      <w:pPr>
        <w:widowControl/>
        <w:jc w:val="left"/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2098</wp:posOffset>
            </wp:positionH>
            <wp:positionV relativeFrom="paragraph">
              <wp:posOffset>87976</wp:posOffset>
            </wp:positionV>
            <wp:extent cx="5400040" cy="5306060"/>
            <wp:effectExtent l="0" t="0" r="0" b="8890"/>
            <wp:wrapTopAndBottom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 Fig3 selected HG02a TAM10.5 R1.0.a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0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1B9A" w:rsidRPr="007F423A" w:rsidRDefault="00571B9A" w:rsidP="0078111D">
      <w:pPr>
        <w:widowControl/>
        <w:jc w:val="left"/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kern w:val="0"/>
          <w:sz w:val="24"/>
          <w:szCs w:val="24"/>
          <w:lang w:eastAsia="zh-CN"/>
        </w:rPr>
        <w:t>Supplementary Figure 3</w:t>
      </w:r>
      <w:r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.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Definition of IO subdivisions in the present study. (a</w:t>
      </w:r>
      <w:r w:rsidR="00636467"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–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j) Coronal sections showing 10 different levels with an approximately 9% interval in </w:t>
      </w:r>
      <w:r w:rsidR="00BA0234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a </w:t>
      </w:r>
      <w:r w:rsidR="00AB20D3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G2A</w:t>
      </w:r>
      <w:r w:rsidR="0078111D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::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H2B mouse at P40</w:t>
      </w:r>
      <w:r w:rsidR="00636467" w:rsidRPr="007F423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–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>42</w:t>
      </w:r>
      <w:r w:rsidRPr="007F423A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. 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Signals indicate immunostaining for FoxP2 (red) and </w:t>
      </w:r>
      <w:r w:rsidR="0078111D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H2B reporter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 labeling (</w:t>
      </w:r>
      <w:r w:rsidR="0078111D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cyan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, TM10.5). </w:t>
      </w:r>
      <w:r w:rsidR="0078111D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White lines indicate boundaries between IO s</w:t>
      </w:r>
      <w:r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ubdivisions. </w:t>
      </w:r>
      <w:r w:rsidR="0078111D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Arrowheads in </w:t>
      </w:r>
      <w:r w:rsidR="00BA0234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(</w:t>
      </w:r>
      <w:r w:rsidR="0078111D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j</w:t>
      </w:r>
      <w:r w:rsidR="00BA0234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>)</w:t>
      </w:r>
      <w:r w:rsidR="0078111D">
        <w:rPr>
          <w:rFonts w:ascii="Times New Roman" w:eastAsia="游明朝" w:hAnsi="Times New Roman" w:cs="Times New Roman"/>
          <w:bCs/>
          <w:kern w:val="0"/>
          <w:sz w:val="24"/>
          <w:szCs w:val="24"/>
          <w:lang w:eastAsia="zh-CN"/>
        </w:rPr>
        <w:t xml:space="preserve"> indicate the lateral arcuate nucleus. See the separate list for abbreviations.</w:t>
      </w:r>
    </w:p>
    <w:p w:rsidR="00571B9A" w:rsidRPr="00BA0234" w:rsidRDefault="00571B9A" w:rsidP="0078111D">
      <w:pPr>
        <w:widowControl/>
        <w:jc w:val="left"/>
        <w:rPr>
          <w:rFonts w:ascii="Times New Roman" w:hAnsi="Times New Roman"/>
          <w:b/>
          <w:kern w:val="0"/>
          <w:sz w:val="24"/>
        </w:rPr>
      </w:pPr>
    </w:p>
    <w:p w:rsidR="0078508E" w:rsidRPr="0078111D" w:rsidRDefault="0078508E"/>
    <w:sectPr w:rsidR="0078508E" w:rsidRPr="007811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CDB" w:rsidRDefault="006B5CDB" w:rsidP="000D3010">
      <w:r>
        <w:separator/>
      </w:r>
    </w:p>
  </w:endnote>
  <w:endnote w:type="continuationSeparator" w:id="0">
    <w:p w:rsidR="006B5CDB" w:rsidRDefault="006B5CDB" w:rsidP="000D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CCB" w:rsidRDefault="00D31CC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795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31CCB" w:rsidRPr="00D31CCB" w:rsidRDefault="00D31CCB" w:rsidP="00D31CCB">
        <w:pPr>
          <w:pStyle w:val="a5"/>
          <w:jc w:val="center"/>
          <w:rPr>
            <w:rFonts w:ascii="Times New Roman" w:hAnsi="Times New Roman" w:cs="Times New Roman" w:hint="eastAsia"/>
          </w:rPr>
        </w:pPr>
        <w:r w:rsidRPr="00D31CCB">
          <w:rPr>
            <w:rFonts w:ascii="Times New Roman" w:hAnsi="Times New Roman" w:cs="Times New Roman"/>
          </w:rPr>
          <w:fldChar w:fldCharType="begin"/>
        </w:r>
        <w:r w:rsidRPr="00D31CCB">
          <w:rPr>
            <w:rFonts w:ascii="Times New Roman" w:hAnsi="Times New Roman" w:cs="Times New Roman"/>
          </w:rPr>
          <w:instrText>PAGE   \* MERGEFORMAT</w:instrText>
        </w:r>
        <w:r w:rsidRPr="00D31CCB">
          <w:rPr>
            <w:rFonts w:ascii="Times New Roman" w:hAnsi="Times New Roman" w:cs="Times New Roman"/>
          </w:rPr>
          <w:fldChar w:fldCharType="separate"/>
        </w:r>
        <w:r w:rsidRPr="00D31CCB">
          <w:rPr>
            <w:rFonts w:ascii="Times New Roman" w:hAnsi="Times New Roman" w:cs="Times New Roman"/>
            <w:noProof/>
            <w:lang w:val="ja-JP"/>
          </w:rPr>
          <w:t>1</w:t>
        </w:r>
        <w:r w:rsidRPr="00D31CCB">
          <w:rPr>
            <w:rFonts w:ascii="Times New Roman" w:hAnsi="Times New Roman" w:cs="Times New Roman"/>
          </w:rPr>
          <w:fldChar w:fldCharType="end"/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CCB" w:rsidRDefault="00D31C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CDB" w:rsidRDefault="006B5CDB" w:rsidP="000D3010">
      <w:r>
        <w:separator/>
      </w:r>
    </w:p>
  </w:footnote>
  <w:footnote w:type="continuationSeparator" w:id="0">
    <w:p w:rsidR="006B5CDB" w:rsidRDefault="006B5CDB" w:rsidP="000D3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CCB" w:rsidRDefault="00D31C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CCB" w:rsidRDefault="00D31CC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CCB" w:rsidRDefault="00D31C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9A"/>
    <w:rsid w:val="0003515B"/>
    <w:rsid w:val="000B0C27"/>
    <w:rsid w:val="000D3010"/>
    <w:rsid w:val="000E78B8"/>
    <w:rsid w:val="0013125C"/>
    <w:rsid w:val="001567D4"/>
    <w:rsid w:val="001A53D5"/>
    <w:rsid w:val="0031357B"/>
    <w:rsid w:val="004550D9"/>
    <w:rsid w:val="00471374"/>
    <w:rsid w:val="00473E97"/>
    <w:rsid w:val="004E23CA"/>
    <w:rsid w:val="004F3AED"/>
    <w:rsid w:val="005222AE"/>
    <w:rsid w:val="00571B9A"/>
    <w:rsid w:val="005D729B"/>
    <w:rsid w:val="00602FB1"/>
    <w:rsid w:val="00622D2C"/>
    <w:rsid w:val="00636467"/>
    <w:rsid w:val="00671CD5"/>
    <w:rsid w:val="006B5CDB"/>
    <w:rsid w:val="006B70C0"/>
    <w:rsid w:val="007149A4"/>
    <w:rsid w:val="0078111D"/>
    <w:rsid w:val="0078508E"/>
    <w:rsid w:val="00810836"/>
    <w:rsid w:val="008535C5"/>
    <w:rsid w:val="00856922"/>
    <w:rsid w:val="0087710A"/>
    <w:rsid w:val="00923B06"/>
    <w:rsid w:val="00A16B83"/>
    <w:rsid w:val="00A67460"/>
    <w:rsid w:val="00AB20D3"/>
    <w:rsid w:val="00AB277B"/>
    <w:rsid w:val="00BA0234"/>
    <w:rsid w:val="00BB09E8"/>
    <w:rsid w:val="00D31CCB"/>
    <w:rsid w:val="00E51D2D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EE0FCF"/>
  <w15:chartTrackingRefBased/>
  <w15:docId w15:val="{55DC30D1-3B0F-4DE8-BE5B-6793D547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B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3010"/>
  </w:style>
  <w:style w:type="paragraph" w:styleId="a5">
    <w:name w:val="footer"/>
    <w:basedOn w:val="a"/>
    <w:link w:val="a6"/>
    <w:uiPriority w:val="99"/>
    <w:unhideWhenUsed/>
    <w:rsid w:val="000D3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3010"/>
  </w:style>
  <w:style w:type="table" w:styleId="a7">
    <w:name w:val="Table Grid"/>
    <w:basedOn w:val="a1"/>
    <w:uiPriority w:val="39"/>
    <w:rsid w:val="00522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135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35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Sugihara</dc:creator>
  <cp:keywords/>
  <dc:description/>
  <cp:lastModifiedBy>Sugihara</cp:lastModifiedBy>
  <cp:revision>4</cp:revision>
  <dcterms:created xsi:type="dcterms:W3CDTF">2022-08-01T03:02:00Z</dcterms:created>
  <dcterms:modified xsi:type="dcterms:W3CDTF">2022-08-01T03:29:00Z</dcterms:modified>
</cp:coreProperties>
</file>