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F29" w:rsidRDefault="00B52F29" w:rsidP="00B52F29">
      <w:pPr>
        <w:rPr>
          <w:rFonts w:ascii="Times New Roman" w:hAnsi="Times New Roman"/>
          <w:sz w:val="24"/>
          <w:szCs w:val="24"/>
        </w:rPr>
      </w:pPr>
      <w:r w:rsidRPr="00662890">
        <w:rPr>
          <w:rFonts w:ascii="Times New Roman" w:hAnsi="Times New Roman"/>
          <w:b/>
          <w:sz w:val="24"/>
          <w:szCs w:val="24"/>
        </w:rPr>
        <w:t>Online-</w:t>
      </w:r>
      <w:r>
        <w:rPr>
          <w:rFonts w:ascii="Times New Roman" w:hAnsi="Times New Roman"/>
          <w:b/>
          <w:sz w:val="24"/>
          <w:szCs w:val="24"/>
        </w:rPr>
        <w:t>O</w:t>
      </w:r>
      <w:r w:rsidRPr="00662890">
        <w:rPr>
          <w:rFonts w:ascii="Times New Roman" w:hAnsi="Times New Roman"/>
          <w:b/>
          <w:sz w:val="24"/>
          <w:szCs w:val="24"/>
        </w:rPr>
        <w:t>nly Figure 2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Intermountain Healthcare practice-model for </w:t>
      </w:r>
      <w:r w:rsidRPr="00757482">
        <w:rPr>
          <w:rFonts w:ascii="Times New Roman" w:hAnsi="Times New Roman"/>
          <w:b/>
          <w:sz w:val="24"/>
          <w:szCs w:val="24"/>
        </w:rPr>
        <w:t xml:space="preserve">emergency recognition and treatment of </w:t>
      </w:r>
      <w:r w:rsidRPr="00757482">
        <w:rPr>
          <w:rFonts w:ascii="Times New Roman" w:hAnsi="Times New Roman"/>
          <w:b/>
          <w:i/>
          <w:sz w:val="24"/>
          <w:szCs w:val="24"/>
        </w:rPr>
        <w:t>severe</w:t>
      </w:r>
      <w:r w:rsidRPr="00757482">
        <w:rPr>
          <w:rFonts w:ascii="Times New Roman" w:hAnsi="Times New Roman"/>
          <w:b/>
          <w:sz w:val="24"/>
          <w:szCs w:val="24"/>
        </w:rPr>
        <w:t xml:space="preserve"> subgaleal hemorrhage</w:t>
      </w:r>
      <w:r>
        <w:rPr>
          <w:rFonts w:ascii="Times New Roman" w:hAnsi="Times New Roman"/>
          <w:sz w:val="24"/>
          <w:szCs w:val="24"/>
        </w:rPr>
        <w:t xml:space="preserve"> in a newborn infant.  </w:t>
      </w:r>
    </w:p>
    <w:p w:rsidR="00B52F29" w:rsidRDefault="00B52F29" w:rsidP="00B52F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  <w:r w:rsidRPr="00757482">
        <w:rPr>
          <w:rFonts w:ascii="Times New Roman" w:hAnsi="Times New Roman"/>
          <w:b/>
          <w:i/>
          <w:sz w:val="24"/>
          <w:szCs w:val="24"/>
        </w:rPr>
        <w:t>Recognize</w:t>
      </w:r>
      <w:r w:rsidRPr="00141103">
        <w:rPr>
          <w:rFonts w:ascii="Times New Roman" w:hAnsi="Times New Roman"/>
          <w:i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“Boggy” swelling with a “fluid wave” on the scalp in an area consistent with </w:t>
      </w:r>
      <w:r>
        <w:rPr>
          <w:rFonts w:ascii="Times New Roman" w:hAnsi="Times New Roman"/>
          <w:sz w:val="24"/>
          <w:szCs w:val="24"/>
        </w:rPr>
        <w:tab/>
        <w:t>the subgaleal space and crossing the sagittal and/or coronal sutures (1).</w:t>
      </w:r>
    </w:p>
    <w:p w:rsidR="00B52F29" w:rsidRDefault="00B52F29" w:rsidP="00B52F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  <w:r w:rsidRPr="00757482">
        <w:rPr>
          <w:rFonts w:ascii="Times New Roman" w:hAnsi="Times New Roman"/>
          <w:b/>
          <w:i/>
          <w:sz w:val="24"/>
          <w:szCs w:val="24"/>
        </w:rPr>
        <w:t>Realize</w:t>
      </w:r>
      <w:r w:rsidRPr="00757482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 At the time of clinical diagnosis, over 20 to 30 mL/kg blood may have already </w:t>
      </w:r>
      <w:r>
        <w:rPr>
          <w:rFonts w:ascii="Times New Roman" w:hAnsi="Times New Roman"/>
          <w:sz w:val="24"/>
          <w:szCs w:val="24"/>
        </w:rPr>
        <w:tab/>
        <w:t xml:space="preserve">been lost into the subgaleal space. Hypovolemic shock may be imminent or already </w:t>
      </w:r>
      <w:r>
        <w:rPr>
          <w:rFonts w:ascii="Times New Roman" w:hAnsi="Times New Roman"/>
          <w:sz w:val="24"/>
          <w:szCs w:val="24"/>
        </w:rPr>
        <w:tab/>
        <w:t xml:space="preserve">present (2). Do not delay emergency transfusion-treatment waiting for confirmation of </w:t>
      </w:r>
      <w:r>
        <w:rPr>
          <w:rFonts w:ascii="Times New Roman" w:hAnsi="Times New Roman"/>
          <w:sz w:val="24"/>
          <w:szCs w:val="24"/>
        </w:rPr>
        <w:tab/>
        <w:t xml:space="preserve">the diagnosis by imaging. Confirmatory imaging can be done during or after the </w:t>
      </w:r>
      <w:r>
        <w:rPr>
          <w:rFonts w:ascii="Times New Roman" w:hAnsi="Times New Roman"/>
          <w:sz w:val="24"/>
          <w:szCs w:val="24"/>
        </w:rPr>
        <w:tab/>
        <w:t>emergency transfusion.</w:t>
      </w:r>
    </w:p>
    <w:p w:rsidR="00B52F29" w:rsidRDefault="00B52F29" w:rsidP="00B52F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  <w:r w:rsidRPr="00757482">
        <w:rPr>
          <w:rFonts w:ascii="Times New Roman" w:hAnsi="Times New Roman"/>
          <w:b/>
          <w:i/>
          <w:sz w:val="24"/>
          <w:szCs w:val="24"/>
        </w:rPr>
        <w:t>Blood Bank:</w:t>
      </w:r>
      <w:r>
        <w:rPr>
          <w:rFonts w:ascii="Times New Roman" w:hAnsi="Times New Roman"/>
          <w:sz w:val="24"/>
          <w:szCs w:val="24"/>
        </w:rPr>
        <w:t xml:space="preserve"> Notify the blood bank of the emergent need for low-titer group O cold-</w:t>
      </w:r>
      <w:r>
        <w:rPr>
          <w:rFonts w:ascii="Times New Roman" w:hAnsi="Times New Roman"/>
          <w:sz w:val="24"/>
          <w:szCs w:val="24"/>
        </w:rPr>
        <w:tab/>
        <w:t xml:space="preserve">stored whole blood (if available). Order 40 mL/k whole blood plus whatever additional </w:t>
      </w:r>
      <w:r>
        <w:rPr>
          <w:rFonts w:ascii="Times New Roman" w:hAnsi="Times New Roman"/>
          <w:sz w:val="24"/>
          <w:szCs w:val="24"/>
        </w:rPr>
        <w:tab/>
        <w:t xml:space="preserve">blood volume is needed for the blood warmer (3). If LTOWB is not available, order </w:t>
      </w:r>
      <w:r>
        <w:rPr>
          <w:rFonts w:ascii="Times New Roman" w:hAnsi="Times New Roman"/>
          <w:sz w:val="24"/>
          <w:szCs w:val="24"/>
        </w:rPr>
        <w:tab/>
        <w:t xml:space="preserve">PRBC (15-20 mL/kg), FFP (15-20 mL/kg), platelets (15-20 mL/kg), and cryoprecipitate </w:t>
      </w:r>
      <w:r>
        <w:rPr>
          <w:rFonts w:ascii="Times New Roman" w:hAnsi="Times New Roman"/>
          <w:sz w:val="24"/>
          <w:szCs w:val="24"/>
        </w:rPr>
        <w:tab/>
        <w:t xml:space="preserve">(5 mL/kg). Administer LTOWB or components </w:t>
      </w:r>
      <w:r w:rsidRPr="00C53AF3">
        <w:rPr>
          <w:rFonts w:ascii="Times New Roman" w:hAnsi="Times New Roman"/>
          <w:i/>
          <w:sz w:val="24"/>
          <w:szCs w:val="24"/>
        </w:rPr>
        <w:t>via</w:t>
      </w:r>
      <w:r>
        <w:rPr>
          <w:rFonts w:ascii="Times New Roman" w:hAnsi="Times New Roman"/>
          <w:sz w:val="24"/>
          <w:szCs w:val="24"/>
        </w:rPr>
        <w:t xml:space="preserve"> an inline fluid/blood warmer. If a </w:t>
      </w:r>
      <w:r>
        <w:rPr>
          <w:rFonts w:ascii="Times New Roman" w:hAnsi="Times New Roman"/>
          <w:sz w:val="24"/>
          <w:szCs w:val="24"/>
        </w:rPr>
        <w:tab/>
        <w:t xml:space="preserve">delay of more </w:t>
      </w:r>
      <w:r>
        <w:rPr>
          <w:rFonts w:ascii="Times New Roman" w:hAnsi="Times New Roman"/>
          <w:sz w:val="24"/>
          <w:szCs w:val="24"/>
        </w:rPr>
        <w:tab/>
        <w:t xml:space="preserve">than 10 minutes is expected for the blood, administer 20-30 mL/kg normal </w:t>
      </w:r>
      <w:r>
        <w:rPr>
          <w:rFonts w:ascii="Times New Roman" w:hAnsi="Times New Roman"/>
          <w:sz w:val="24"/>
          <w:szCs w:val="24"/>
        </w:rPr>
        <w:tab/>
        <w:t xml:space="preserve">saline </w:t>
      </w:r>
      <w:r w:rsidRPr="00C53AF3">
        <w:rPr>
          <w:rFonts w:ascii="Times New Roman" w:hAnsi="Times New Roman"/>
          <w:i/>
          <w:sz w:val="24"/>
          <w:szCs w:val="24"/>
        </w:rPr>
        <w:t>via</w:t>
      </w:r>
      <w:r>
        <w:rPr>
          <w:rFonts w:ascii="Times New Roman" w:hAnsi="Times New Roman"/>
          <w:sz w:val="24"/>
          <w:szCs w:val="24"/>
        </w:rPr>
        <w:t xml:space="preserve"> an inline fluid/blood warmer. </w:t>
      </w:r>
    </w:p>
    <w:p w:rsidR="00B52F29" w:rsidRDefault="00B52F29" w:rsidP="00B52F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  <w:r w:rsidRPr="00757482">
        <w:rPr>
          <w:rFonts w:ascii="Times New Roman" w:hAnsi="Times New Roman"/>
          <w:b/>
          <w:i/>
          <w:sz w:val="24"/>
          <w:szCs w:val="24"/>
        </w:rPr>
        <w:t>Pharmacy:</w:t>
      </w:r>
      <w:r w:rsidRPr="00141103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Notify the pharmacy emergently of the need for recombinant activated factor </w:t>
      </w:r>
      <w:r>
        <w:rPr>
          <w:rFonts w:ascii="Times New Roman" w:hAnsi="Times New Roman"/>
          <w:sz w:val="24"/>
          <w:szCs w:val="24"/>
        </w:rPr>
        <w:tab/>
        <w:t>7 (rFVIIa) and Tranexamic acid (4).</w:t>
      </w:r>
    </w:p>
    <w:p w:rsidR="00B52F29" w:rsidRDefault="00B52F29" w:rsidP="00B52F29">
      <w:pPr>
        <w:jc w:val="center"/>
      </w:pPr>
      <w:r>
        <w:fldChar w:fldCharType="begin"/>
      </w:r>
      <w:r>
        <w:instrText xml:space="preserve"> INCLUDEPICTURE "https://tukuz.com/wp-content/uploads/2019/06/intermountain-healthcare-logo-vector.png" \* MERGEFORMATINET </w:instrText>
      </w:r>
      <w:r>
        <w:fldChar w:fldCharType="separate"/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intermountain-healthcare-logo-vector" style="width:159.75pt;height:87.75pt">
            <v:imagedata r:id="rId4" r:href="rId5"/>
          </v:shape>
        </w:pict>
      </w:r>
      <w:r>
        <w:fldChar w:fldCharType="end"/>
      </w:r>
    </w:p>
    <w:p w:rsidR="00B52F29" w:rsidRPr="00164280" w:rsidRDefault="00B52F29" w:rsidP="00B52F29">
      <w:pPr>
        <w:rPr>
          <w:rFonts w:ascii="Times New Roman" w:hAnsi="Times New Roman"/>
        </w:rPr>
      </w:pPr>
      <w:r w:rsidRPr="00164280">
        <w:rPr>
          <w:rFonts w:ascii="Times New Roman" w:hAnsi="Times New Roman"/>
        </w:rPr>
        <w:t>(1). At Intermountain, the incidence of SH is 1/</w:t>
      </w:r>
      <w:r>
        <w:rPr>
          <w:rFonts w:ascii="Times New Roman" w:hAnsi="Times New Roman"/>
        </w:rPr>
        <w:t>558</w:t>
      </w:r>
      <w:r w:rsidRPr="00164280">
        <w:rPr>
          <w:rFonts w:ascii="Times New Roman" w:hAnsi="Times New Roman"/>
        </w:rPr>
        <w:t xml:space="preserve"> vacuum-assisted births, 1/</w:t>
      </w:r>
      <w:r>
        <w:rPr>
          <w:rFonts w:ascii="Times New Roman" w:hAnsi="Times New Roman"/>
        </w:rPr>
        <w:t>849</w:t>
      </w:r>
      <w:r w:rsidRPr="00164280">
        <w:rPr>
          <w:rFonts w:ascii="Times New Roman" w:hAnsi="Times New Roman"/>
        </w:rPr>
        <w:t xml:space="preserve"> forceps-assisted births, </w:t>
      </w:r>
      <w:r>
        <w:rPr>
          <w:rFonts w:ascii="Times New Roman" w:hAnsi="Times New Roman"/>
        </w:rPr>
        <w:t>one/68 births where vacuum followed by forceps was used, a</w:t>
      </w:r>
      <w:r w:rsidRPr="00164280">
        <w:rPr>
          <w:rFonts w:ascii="Times New Roman" w:hAnsi="Times New Roman"/>
        </w:rPr>
        <w:t>nd 1/</w:t>
      </w:r>
      <w:r>
        <w:rPr>
          <w:rFonts w:ascii="Times New Roman" w:hAnsi="Times New Roman"/>
        </w:rPr>
        <w:t>2048</w:t>
      </w:r>
      <w:r w:rsidRPr="00164280">
        <w:rPr>
          <w:rFonts w:ascii="Times New Roman" w:hAnsi="Times New Roman"/>
        </w:rPr>
        <w:t xml:space="preserve"> births when neither instrumentation </w:t>
      </w:r>
      <w:r>
        <w:rPr>
          <w:rFonts w:ascii="Times New Roman" w:hAnsi="Times New Roman"/>
        </w:rPr>
        <w:t xml:space="preserve">was </w:t>
      </w:r>
      <w:r w:rsidRPr="00164280">
        <w:rPr>
          <w:rFonts w:ascii="Times New Roman" w:hAnsi="Times New Roman"/>
        </w:rPr>
        <w:t xml:space="preserve">used. </w:t>
      </w:r>
    </w:p>
    <w:p w:rsidR="00B52F29" w:rsidRPr="00164280" w:rsidRDefault="00B52F29" w:rsidP="00B52F29">
      <w:pPr>
        <w:rPr>
          <w:rFonts w:ascii="Times New Roman" w:hAnsi="Times New Roman"/>
        </w:rPr>
      </w:pPr>
      <w:r w:rsidRPr="00164280">
        <w:rPr>
          <w:rFonts w:ascii="Times New Roman" w:hAnsi="Times New Roman"/>
        </w:rPr>
        <w:t xml:space="preserve">(2). At Intermountain, if a blood transfusion is needed to treat SH, the risk of a poor outcome (death or neurodevelopmental impairment) is over </w:t>
      </w:r>
      <w:r>
        <w:rPr>
          <w:rFonts w:ascii="Times New Roman" w:hAnsi="Times New Roman"/>
        </w:rPr>
        <w:t>3</w:t>
      </w:r>
      <w:r w:rsidRPr="00164280">
        <w:rPr>
          <w:rFonts w:ascii="Times New Roman" w:hAnsi="Times New Roman"/>
        </w:rPr>
        <w:t>0%.</w:t>
      </w:r>
    </w:p>
    <w:p w:rsidR="00B52F29" w:rsidRPr="00164280" w:rsidRDefault="00B52F29" w:rsidP="00B52F29">
      <w:pPr>
        <w:rPr>
          <w:rFonts w:ascii="Times New Roman" w:hAnsi="Times New Roman"/>
        </w:rPr>
      </w:pPr>
      <w:r w:rsidRPr="00164280">
        <w:rPr>
          <w:rFonts w:ascii="Times New Roman" w:hAnsi="Times New Roman"/>
        </w:rPr>
        <w:t xml:space="preserve">(3). A fluid/blood warmer is available in all Intermountain NICUs. As soon as it has been decided that the patient has a </w:t>
      </w:r>
      <w:r w:rsidRPr="00164280">
        <w:rPr>
          <w:rFonts w:ascii="Times New Roman" w:hAnsi="Times New Roman"/>
          <w:i/>
        </w:rPr>
        <w:t>severe</w:t>
      </w:r>
      <w:r w:rsidRPr="00164280">
        <w:rPr>
          <w:rFonts w:ascii="Times New Roman" w:hAnsi="Times New Roman"/>
        </w:rPr>
        <w:t xml:space="preserve"> SH (patient requires transfusion), call for a fluid/blood warmer and set it up emergently at the patient’s bedside. </w:t>
      </w:r>
    </w:p>
    <w:p w:rsidR="00B52F29" w:rsidRPr="00164280" w:rsidRDefault="00B52F29" w:rsidP="00B52F29">
      <w:pPr>
        <w:rPr>
          <w:rFonts w:ascii="Times New Roman" w:hAnsi="Times New Roman"/>
        </w:rPr>
      </w:pPr>
      <w:r w:rsidRPr="00164280">
        <w:rPr>
          <w:rFonts w:ascii="Times New Roman" w:hAnsi="Times New Roman"/>
        </w:rPr>
        <w:t xml:space="preserve">(4). Facilitate hemostasis, during DIC, with rFVIIa (100 µg/kg IV). Facilitate stabilizing the thrombus, during DIC, with Tranexamic acid (15 mg/kg IV). </w:t>
      </w:r>
    </w:p>
    <w:p w:rsidR="00B52F29" w:rsidRPr="00662890" w:rsidRDefault="00B52F29" w:rsidP="00B52F29">
      <w:pPr>
        <w:rPr>
          <w:rFonts w:ascii="Times New Roman" w:hAnsi="Times New Roman"/>
          <w:sz w:val="24"/>
          <w:szCs w:val="24"/>
        </w:rPr>
      </w:pPr>
    </w:p>
    <w:p w:rsidR="007F07F1" w:rsidRDefault="00B52F29" w:rsidP="00B52F29">
      <w:r>
        <w:rPr>
          <w:rFonts w:ascii="Times New Roman" w:hAnsi="Times New Roman"/>
          <w:b/>
          <w:sz w:val="24"/>
          <w:szCs w:val="24"/>
        </w:rPr>
        <w:br w:type="page"/>
      </w:r>
      <w:bookmarkStart w:id="0" w:name="_GoBack"/>
      <w:bookmarkEnd w:id="0"/>
    </w:p>
    <w:sectPr w:rsidR="007F07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F29"/>
    <w:rsid w:val="007F07F1"/>
    <w:rsid w:val="00B5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D85F1A-60FB-41DE-8E2B-F2F8A7CF4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F2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s://tukuz.com/wp-content/uploads/2019/06/intermountain-healthcare-logo-vector.pn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1923</Characters>
  <Application>Microsoft Office Word</Application>
  <DocSecurity>0</DocSecurity>
  <Lines>16</Lines>
  <Paragraphs>4</Paragraphs>
  <ScaleCrop>false</ScaleCrop>
  <Company>Springer Nature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2022-08-09T07:19:00Z</dcterms:created>
  <dcterms:modified xsi:type="dcterms:W3CDTF">2022-08-09T07:19:00Z</dcterms:modified>
</cp:coreProperties>
</file>