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D01A" w14:textId="50881FB5" w:rsidR="00011421" w:rsidRPr="00C11E7B" w:rsidRDefault="00BE56D3" w:rsidP="00C11E7B">
      <w:pPr>
        <w:pStyle w:val="Poromisin"/>
        <w:spacing w:after="185" w:line="360" w:lineRule="auto"/>
        <w:contextualSpacing/>
        <w:jc w:val="both"/>
        <w:rPr>
          <w:rFonts w:ascii="Arial" w:hAnsi="Arial" w:cs="Arial"/>
          <w:b/>
          <w:color w:val="833C0B" w:themeColor="accent2" w:themeShade="80"/>
          <w:sz w:val="28"/>
          <w:szCs w:val="28"/>
          <w:lang w:val="en-US"/>
        </w:rPr>
      </w:pPr>
      <w:r>
        <w:rPr>
          <w:rFonts w:ascii="Arial" w:hAnsi="Arial" w:cs="Arial"/>
          <w:b/>
          <w:bCs/>
          <w:noProof/>
          <w:color w:val="833C0B" w:themeColor="accent2" w:themeShade="80"/>
        </w:rPr>
        <w:drawing>
          <wp:anchor distT="0" distB="0" distL="114300" distR="114300" simplePos="0" relativeHeight="251658240" behindDoc="0" locked="0" layoutInCell="1" allowOverlap="1" wp14:anchorId="4746AE0F" wp14:editId="43F46DC3">
            <wp:simplePos x="0" y="0"/>
            <wp:positionH relativeFrom="column">
              <wp:posOffset>39370</wp:posOffset>
            </wp:positionH>
            <wp:positionV relativeFrom="paragraph">
              <wp:posOffset>398974</wp:posOffset>
            </wp:positionV>
            <wp:extent cx="5400040" cy="111125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6" b="59579"/>
                    <a:stretch/>
                  </pic:blipFill>
                  <pic:spPr bwMode="auto">
                    <a:xfrm>
                      <a:off x="0" y="0"/>
                      <a:ext cx="5400040" cy="111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BEB" w:rsidRPr="00D978E3">
        <w:rPr>
          <w:rFonts w:ascii="Arial" w:hAnsi="Arial" w:cs="Arial"/>
          <w:b/>
          <w:color w:val="833C0B" w:themeColor="accent2" w:themeShade="80"/>
          <w:sz w:val="28"/>
          <w:szCs w:val="28"/>
          <w:lang w:val="en-US"/>
        </w:rPr>
        <w:t>Supplementary Figure Legends</w:t>
      </w:r>
    </w:p>
    <w:p w14:paraId="17899B03" w14:textId="7B3A8C05" w:rsidR="00C11E7B" w:rsidRPr="00C11E7B" w:rsidRDefault="00FA631F" w:rsidP="00F73BCC">
      <w:pPr>
        <w:tabs>
          <w:tab w:val="left" w:pos="1185"/>
        </w:tabs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160AFF38" wp14:editId="48F1B1B0">
            <wp:simplePos x="0" y="0"/>
            <wp:positionH relativeFrom="column">
              <wp:posOffset>-90170</wp:posOffset>
            </wp:positionH>
            <wp:positionV relativeFrom="paragraph">
              <wp:posOffset>1930543</wp:posOffset>
            </wp:positionV>
            <wp:extent cx="5359400" cy="531114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74"/>
                    <a:stretch/>
                  </pic:blipFill>
                  <pic:spPr bwMode="auto">
                    <a:xfrm>
                      <a:off x="0" y="0"/>
                      <a:ext cx="5359400" cy="5311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BEB" w:rsidRPr="00202C2F">
        <w:rPr>
          <w:rFonts w:ascii="Arial" w:hAnsi="Arial" w:cs="Arial"/>
          <w:b/>
          <w:bCs/>
          <w:color w:val="833C0B" w:themeColor="accent2" w:themeShade="80"/>
        </w:rPr>
        <w:t>Figure S1: COBALT BLAST. Multiple sequence alignment of BRD4 from different organisms</w:t>
      </w:r>
      <w:r w:rsidR="00F20BEB" w:rsidRPr="00202C2F">
        <w:rPr>
          <w:rFonts w:ascii="Arial" w:hAnsi="Arial" w:cs="Arial"/>
          <w:color w:val="000000" w:themeColor="text1"/>
        </w:rPr>
        <w:t>. Residue conservation of position S1117A is highlighted in yellow in the alignment of the BRD4 proteins.</w:t>
      </w:r>
    </w:p>
    <w:p w14:paraId="6F14E2EA" w14:textId="093B8E0E" w:rsidR="00F20BEB" w:rsidRPr="00202C2F" w:rsidRDefault="00F20BEB" w:rsidP="00F73BCC">
      <w:pPr>
        <w:pStyle w:val="Poromisin"/>
        <w:spacing w:after="185" w:line="360" w:lineRule="auto"/>
        <w:contextualSpacing/>
        <w:jc w:val="both"/>
        <w:rPr>
          <w:rFonts w:ascii="Arial" w:hAnsi="Arial" w:cs="Arial"/>
          <w:b/>
          <w:bCs/>
          <w:color w:val="833C0B" w:themeColor="accent2" w:themeShade="80"/>
          <w:sz w:val="24"/>
          <w:szCs w:val="24"/>
          <w:lang w:val="en-US"/>
        </w:rPr>
      </w:pPr>
      <w:r w:rsidRPr="00202C2F">
        <w:rPr>
          <w:rFonts w:ascii="Arial" w:hAnsi="Arial" w:cs="Arial"/>
          <w:b/>
          <w:bCs/>
          <w:color w:val="833C0B" w:themeColor="accent2" w:themeShade="80"/>
          <w:sz w:val="24"/>
          <w:szCs w:val="24"/>
          <w:lang w:val="en-US"/>
        </w:rPr>
        <w:t xml:space="preserve">Figure S2. BRD4 chromatin </w:t>
      </w:r>
      <w:r w:rsidR="00487F1E">
        <w:rPr>
          <w:rFonts w:ascii="Arial" w:hAnsi="Arial" w:cs="Arial"/>
          <w:b/>
          <w:bCs/>
          <w:color w:val="833C0B" w:themeColor="accent2" w:themeShade="80"/>
          <w:sz w:val="24"/>
          <w:szCs w:val="24"/>
          <w:lang w:val="en-US"/>
        </w:rPr>
        <w:t>dynamics</w:t>
      </w:r>
      <w:r w:rsidRPr="00202C2F">
        <w:rPr>
          <w:rFonts w:ascii="Arial" w:hAnsi="Arial" w:cs="Arial"/>
          <w:b/>
          <w:bCs/>
          <w:color w:val="833C0B" w:themeColor="accent2" w:themeShade="80"/>
          <w:sz w:val="24"/>
          <w:szCs w:val="24"/>
          <w:lang w:val="en-US"/>
        </w:rPr>
        <w:t xml:space="preserve"> after DNA damage.</w:t>
      </w:r>
    </w:p>
    <w:p w14:paraId="0F522D63" w14:textId="6B4722A4" w:rsidR="00F20BEB" w:rsidRPr="00202C2F" w:rsidRDefault="00F20BEB" w:rsidP="00F73BCC">
      <w:pPr>
        <w:pStyle w:val="Poromisin"/>
        <w:spacing w:after="185" w:line="36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202C2F">
        <w:rPr>
          <w:rFonts w:ascii="Arial" w:hAnsi="Arial" w:cs="Arial"/>
          <w:b/>
          <w:bCs/>
          <w:sz w:val="24"/>
          <w:szCs w:val="24"/>
          <w:lang w:val="en-US"/>
        </w:rPr>
        <w:t>(A, B)</w:t>
      </w:r>
      <w:r w:rsidRPr="00202C2F">
        <w:rPr>
          <w:rFonts w:ascii="Arial" w:hAnsi="Arial" w:cs="Arial"/>
          <w:sz w:val="24"/>
          <w:szCs w:val="24"/>
          <w:lang w:val="en-US"/>
        </w:rPr>
        <w:t xml:space="preserve"> </w:t>
      </w:r>
      <w:r w:rsidRPr="00202C2F">
        <w:rPr>
          <w:rFonts w:ascii="Arial" w:hAnsi="Arial" w:cs="Arial"/>
          <w:color w:val="000000" w:themeColor="text1"/>
          <w:sz w:val="24"/>
          <w:szCs w:val="24"/>
          <w:lang w:val="en-US"/>
        </w:rPr>
        <w:t>WB analysis of cytoplasmic, nuclear and chromatin extract from HT29 cell line collected at different time points after UV treatment (130mJ) (A) or treated with 5 FU+ Irinotecan (5FU=5 ug/ml, Irinotecan =2 ug/ml) at the indicated time points (B).</w:t>
      </w:r>
    </w:p>
    <w:p w14:paraId="5EA3E489" w14:textId="02FC3511" w:rsidR="00F20BEB" w:rsidRPr="00F73BCC" w:rsidRDefault="00F20BEB" w:rsidP="00F73BCC">
      <w:pPr>
        <w:pStyle w:val="Poromisin"/>
        <w:spacing w:after="185" w:line="36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202C2F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lastRenderedPageBreak/>
        <w:t>(C, D)</w:t>
      </w:r>
      <w:r w:rsidRPr="00202C2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WB analysis of chromatin extract from HT29 cells (C) or </w:t>
      </w:r>
      <w:proofErr w:type="spellStart"/>
      <w:r w:rsidRPr="00202C2F">
        <w:rPr>
          <w:rFonts w:ascii="Arial" w:hAnsi="Arial" w:cs="Arial"/>
          <w:sz w:val="24"/>
          <w:szCs w:val="24"/>
          <w:lang w:val="en-US"/>
        </w:rPr>
        <w:t>APC</w:t>
      </w:r>
      <w:r w:rsidRPr="00202C2F">
        <w:rPr>
          <w:rFonts w:ascii="Arial" w:hAnsi="Arial" w:cs="Arial"/>
          <w:sz w:val="24"/>
          <w:szCs w:val="24"/>
          <w:vertAlign w:val="superscript"/>
          <w:lang w:val="en-US"/>
        </w:rPr>
        <w:t>Min</w:t>
      </w:r>
      <w:proofErr w:type="spellEnd"/>
      <w:r w:rsidRPr="00202C2F">
        <w:rPr>
          <w:rFonts w:ascii="Arial" w:hAnsi="Arial" w:cs="Arial"/>
          <w:sz w:val="24"/>
          <w:szCs w:val="24"/>
          <w:vertAlign w:val="superscript"/>
          <w:lang w:val="en-US"/>
        </w:rPr>
        <w:t>/+</w:t>
      </w:r>
      <w:r w:rsidRPr="00202C2F">
        <w:rPr>
          <w:rFonts w:ascii="Arial" w:hAnsi="Arial" w:cs="Arial"/>
          <w:sz w:val="24"/>
          <w:szCs w:val="24"/>
          <w:lang w:val="en-US"/>
        </w:rPr>
        <w:t xml:space="preserve"> organoids </w:t>
      </w:r>
      <w:r w:rsidRPr="00F73BCC">
        <w:rPr>
          <w:rFonts w:ascii="Arial" w:hAnsi="Arial" w:cs="Arial"/>
          <w:sz w:val="24"/>
          <w:szCs w:val="24"/>
          <w:lang w:val="en-US"/>
        </w:rPr>
        <w:t xml:space="preserve">(D) </w:t>
      </w:r>
      <w:r w:rsidRPr="00F73BCC">
        <w:rPr>
          <w:rFonts w:ascii="Arial" w:hAnsi="Arial" w:cs="Arial"/>
          <w:color w:val="000000" w:themeColor="text1"/>
          <w:sz w:val="24"/>
          <w:szCs w:val="24"/>
          <w:lang w:val="en-US"/>
        </w:rPr>
        <w:t>collected at different time points after IR exposure (10Gy).</w:t>
      </w:r>
    </w:p>
    <w:p w14:paraId="399E1BEE" w14:textId="0CD804D6" w:rsidR="00F73BCC" w:rsidRDefault="00F73BCC" w:rsidP="00F73BCC">
      <w:pPr>
        <w:pStyle w:val="Poromisin"/>
        <w:spacing w:after="185" w:line="360" w:lineRule="auto"/>
        <w:contextualSpacing/>
        <w:jc w:val="both"/>
        <w:rPr>
          <w:rFonts w:ascii="Arial" w:hAnsi="Arial" w:cs="Arial"/>
          <w:sz w:val="24"/>
          <w:szCs w:val="24"/>
          <w:lang w:val="en-US"/>
        </w:rPr>
      </w:pPr>
      <w:r w:rsidRPr="00F73BCC">
        <w:rPr>
          <w:rFonts w:ascii="Arial" w:hAnsi="Arial" w:cs="Arial"/>
          <w:b/>
          <w:bCs/>
          <w:sz w:val="24"/>
          <w:szCs w:val="24"/>
          <w:lang w:val="en-US"/>
        </w:rPr>
        <w:t>(E)</w:t>
      </w:r>
      <w:r w:rsidRPr="00F73BCC">
        <w:rPr>
          <w:rFonts w:ascii="Arial" w:hAnsi="Arial" w:cs="Arial"/>
          <w:sz w:val="24"/>
          <w:szCs w:val="24"/>
          <w:lang w:val="en-US"/>
        </w:rPr>
        <w:t xml:space="preserve"> WB analysis of HCT116 cells untreated or pretreated with the BRD4 inhibitor JQ1 for 16 hours and the exposed to UV as indicated.</w:t>
      </w:r>
    </w:p>
    <w:p w14:paraId="563E5038" w14:textId="2F986350" w:rsidR="00FA631F" w:rsidRDefault="00FA631F" w:rsidP="00F73BCC">
      <w:pPr>
        <w:pStyle w:val="Poromisin"/>
        <w:spacing w:after="185" w:line="360" w:lineRule="auto"/>
        <w:contextualSpacing/>
        <w:jc w:val="both"/>
        <w:rPr>
          <w:rFonts w:ascii="Arial" w:hAnsi="Arial" w:cs="Arial"/>
          <w:sz w:val="24"/>
          <w:szCs w:val="24"/>
          <w:lang w:val="en-US"/>
        </w:rPr>
      </w:pPr>
    </w:p>
    <w:p w14:paraId="0426CE48" w14:textId="5FC447F1" w:rsidR="00FA631F" w:rsidRDefault="00FA631F" w:rsidP="00F73BCC">
      <w:pPr>
        <w:pStyle w:val="Poromisin"/>
        <w:spacing w:after="185" w:line="360" w:lineRule="auto"/>
        <w:contextualSpacing/>
        <w:jc w:val="both"/>
        <w:rPr>
          <w:rFonts w:ascii="Arial" w:hAnsi="Arial" w:cs="Arial"/>
          <w:sz w:val="24"/>
          <w:szCs w:val="24"/>
          <w:lang w:val="en-US"/>
        </w:rPr>
      </w:pPr>
    </w:p>
    <w:p w14:paraId="0808D3B4" w14:textId="77777777" w:rsidR="00FA631F" w:rsidRDefault="00FA631F" w:rsidP="00F73BCC">
      <w:pPr>
        <w:pStyle w:val="Poromisin"/>
        <w:spacing w:after="185" w:line="360" w:lineRule="auto"/>
        <w:contextualSpacing/>
        <w:jc w:val="both"/>
        <w:rPr>
          <w:rFonts w:ascii="Arial" w:hAnsi="Arial" w:cs="Arial"/>
          <w:sz w:val="24"/>
          <w:szCs w:val="24"/>
          <w:lang w:val="en-US"/>
        </w:rPr>
      </w:pPr>
    </w:p>
    <w:p w14:paraId="18917804" w14:textId="2AA885EE" w:rsidR="00F73BCC" w:rsidRDefault="00FA631F" w:rsidP="00F73BCC">
      <w:pPr>
        <w:pStyle w:val="Poromisin"/>
        <w:spacing w:after="185" w:line="36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1E26C69E" wp14:editId="64FEBFA0">
            <wp:extent cx="4267200" cy="1661660"/>
            <wp:effectExtent l="0" t="0" r="0" b="254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95"/>
                    <a:stretch/>
                  </pic:blipFill>
                  <pic:spPr bwMode="auto">
                    <a:xfrm>
                      <a:off x="0" y="0"/>
                      <a:ext cx="4267200" cy="1661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938BF5" w14:textId="63E34754" w:rsidR="00F73BCC" w:rsidRPr="00202C2F" w:rsidRDefault="00F73BCC" w:rsidP="00F73BCC">
      <w:pPr>
        <w:pStyle w:val="Poromisin"/>
        <w:spacing w:after="185" w:line="36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202C2F">
        <w:rPr>
          <w:rFonts w:ascii="Arial" w:hAnsi="Arial" w:cs="Arial"/>
          <w:b/>
          <w:bCs/>
          <w:color w:val="833C0B" w:themeColor="accent2" w:themeShade="80"/>
          <w:sz w:val="24"/>
          <w:szCs w:val="24"/>
          <w:lang w:val="en-US"/>
        </w:rPr>
        <w:t xml:space="preserve">Figure </w:t>
      </w:r>
      <w:r w:rsidRPr="00F73BCC">
        <w:rPr>
          <w:rFonts w:ascii="Arial" w:hAnsi="Arial" w:cs="Arial"/>
          <w:b/>
          <w:bCs/>
          <w:color w:val="833C0B" w:themeColor="accent2" w:themeShade="80"/>
          <w:sz w:val="24"/>
          <w:szCs w:val="24"/>
          <w:lang w:val="en-US"/>
        </w:rPr>
        <w:t>S3. IKK</w:t>
      </w:r>
      <w:r w:rsidRPr="00F73BCC">
        <w:rPr>
          <w:rFonts w:ascii="Arial" w:hAnsi="Arial" w:cs="Arial"/>
          <w:b/>
          <w:bCs/>
          <w:color w:val="833C0B" w:themeColor="accent2" w:themeShade="80"/>
          <w:sz w:val="24"/>
          <w:szCs w:val="24"/>
          <w:lang w:val="en-US"/>
        </w:rPr>
        <w:sym w:font="Symbol" w:char="F061"/>
      </w:r>
      <w:r w:rsidRPr="00F73BCC">
        <w:rPr>
          <w:rFonts w:ascii="Arial" w:hAnsi="Arial" w:cs="Arial"/>
          <w:b/>
          <w:bCs/>
          <w:color w:val="833C0B" w:themeColor="accent2" w:themeShade="80"/>
          <w:sz w:val="24"/>
          <w:szCs w:val="24"/>
          <w:lang w:val="en-US"/>
        </w:rPr>
        <w:t xml:space="preserve"> dictates BRD4 chromatin recruitment upon damage.</w:t>
      </w:r>
      <w:r w:rsidRPr="00F73BCC">
        <w:rPr>
          <w:noProof/>
          <w:color w:val="833C0B" w:themeColor="accent2" w:themeShade="80"/>
        </w:rPr>
        <w:t xml:space="preserve"> </w:t>
      </w:r>
      <w:r w:rsidRPr="00F73BCC">
        <w:rPr>
          <w:rFonts w:ascii="Arial" w:hAnsi="Arial" w:cs="Arial"/>
          <w:b/>
          <w:bCs/>
          <w:color w:val="833C0B" w:themeColor="accent2" w:themeShade="80"/>
          <w:sz w:val="24"/>
          <w:szCs w:val="24"/>
          <w:lang w:val="en-US"/>
        </w:rPr>
        <w:t xml:space="preserve"> </w:t>
      </w:r>
    </w:p>
    <w:p w14:paraId="5083571A" w14:textId="6642FC43" w:rsidR="00F20BEB" w:rsidRPr="00202C2F" w:rsidRDefault="00F20BEB" w:rsidP="00F73BCC">
      <w:pPr>
        <w:pStyle w:val="Poromisin"/>
        <w:spacing w:after="185" w:line="360" w:lineRule="auto"/>
        <w:contextualSpacing/>
        <w:jc w:val="both"/>
        <w:rPr>
          <w:rFonts w:ascii="Arial" w:hAnsi="Arial" w:cs="Arial"/>
          <w:sz w:val="24"/>
          <w:szCs w:val="24"/>
          <w:lang w:val="en-US"/>
        </w:rPr>
      </w:pPr>
      <w:r w:rsidRPr="00202C2F">
        <w:rPr>
          <w:rFonts w:ascii="Arial" w:hAnsi="Arial" w:cs="Arial"/>
          <w:b/>
          <w:bCs/>
          <w:sz w:val="24"/>
          <w:szCs w:val="24"/>
          <w:lang w:val="en-US"/>
        </w:rPr>
        <w:t>(</w:t>
      </w:r>
      <w:r w:rsidR="00CB16A7">
        <w:rPr>
          <w:rFonts w:ascii="Arial" w:hAnsi="Arial" w:cs="Arial"/>
          <w:b/>
          <w:bCs/>
          <w:sz w:val="24"/>
          <w:szCs w:val="24"/>
          <w:lang w:val="en-US"/>
        </w:rPr>
        <w:t>A</w:t>
      </w:r>
      <w:r w:rsidRPr="00202C2F">
        <w:rPr>
          <w:rFonts w:ascii="Arial" w:hAnsi="Arial" w:cs="Arial"/>
          <w:b/>
          <w:bCs/>
          <w:sz w:val="24"/>
          <w:szCs w:val="24"/>
          <w:lang w:val="en-US"/>
        </w:rPr>
        <w:t>)</w:t>
      </w:r>
      <w:r w:rsidRPr="00202C2F">
        <w:rPr>
          <w:rFonts w:ascii="Arial" w:hAnsi="Arial" w:cs="Arial"/>
          <w:sz w:val="24"/>
          <w:szCs w:val="24"/>
          <w:lang w:val="en-US"/>
        </w:rPr>
        <w:t xml:space="preserve"> Genomic distribution of the different BRD4-enriched regions. Random: randomly selected regions of the genome; BRD4_all: BRD4-bound regions regardless IKK</w:t>
      </w:r>
      <w:r w:rsidRPr="00202C2F">
        <w:rPr>
          <w:rFonts w:ascii="Arial" w:hAnsi="Arial" w:cs="Arial"/>
          <w:sz w:val="24"/>
          <w:szCs w:val="24"/>
          <w:lang w:val="en-US"/>
        </w:rPr>
        <w:sym w:font="Symbol" w:char="F061"/>
      </w:r>
      <w:r w:rsidRPr="00202C2F">
        <w:rPr>
          <w:rFonts w:ascii="Arial" w:hAnsi="Arial" w:cs="Arial"/>
          <w:sz w:val="24"/>
          <w:szCs w:val="24"/>
          <w:lang w:val="en-US"/>
        </w:rPr>
        <w:t xml:space="preserve"> genotype and treatment conditions; CWT: BRD4-bound regions in untreated WT cells, WTIR_KOIR: BRD4-bound upon treatment independent of IKK</w:t>
      </w:r>
      <w:r w:rsidRPr="00202C2F">
        <w:rPr>
          <w:rFonts w:ascii="Arial" w:hAnsi="Arial" w:cs="Arial"/>
          <w:sz w:val="24"/>
          <w:szCs w:val="24"/>
          <w:lang w:val="en-US"/>
        </w:rPr>
        <w:sym w:font="Symbol" w:char="F061"/>
      </w:r>
      <w:r w:rsidRPr="00202C2F">
        <w:rPr>
          <w:rFonts w:ascii="Arial" w:hAnsi="Arial" w:cs="Arial"/>
          <w:sz w:val="24"/>
          <w:szCs w:val="24"/>
          <w:lang w:val="en-US"/>
        </w:rPr>
        <w:t xml:space="preserve"> genotype; WTIR: BRD4-bound regions upon IR in WT and, KOIR: BRD4-bound upon IR in IKK</w:t>
      </w:r>
      <w:r w:rsidRPr="00202C2F">
        <w:rPr>
          <w:rFonts w:ascii="Arial" w:hAnsi="Arial" w:cs="Arial"/>
          <w:sz w:val="24"/>
          <w:szCs w:val="24"/>
          <w:lang w:val="en-US"/>
        </w:rPr>
        <w:sym w:font="Symbol" w:char="F061"/>
      </w:r>
      <w:r w:rsidRPr="00202C2F">
        <w:rPr>
          <w:rFonts w:ascii="Arial" w:hAnsi="Arial" w:cs="Arial"/>
          <w:sz w:val="24"/>
          <w:szCs w:val="24"/>
          <w:lang w:val="en-US"/>
        </w:rPr>
        <w:t xml:space="preserve"> KO.</w:t>
      </w:r>
    </w:p>
    <w:p w14:paraId="035A44BA" w14:textId="4EADA0D3" w:rsidR="00011421" w:rsidRPr="00C11E7B" w:rsidRDefault="00F20BEB" w:rsidP="00C11E7B">
      <w:pPr>
        <w:pStyle w:val="Poromisin"/>
        <w:spacing w:after="185" w:line="360" w:lineRule="auto"/>
        <w:contextualSpacing/>
        <w:jc w:val="both"/>
        <w:rPr>
          <w:rFonts w:ascii="Arial" w:hAnsi="Arial" w:cs="Arial"/>
          <w:sz w:val="24"/>
          <w:szCs w:val="24"/>
          <w:lang w:val="en-US"/>
        </w:rPr>
      </w:pPr>
      <w:r w:rsidRPr="00202C2F">
        <w:rPr>
          <w:rFonts w:ascii="Arial" w:hAnsi="Arial" w:cs="Arial"/>
          <w:b/>
          <w:bCs/>
          <w:sz w:val="24"/>
          <w:szCs w:val="24"/>
          <w:lang w:val="en-US"/>
        </w:rPr>
        <w:t>(</w:t>
      </w:r>
      <w:r w:rsidR="00CB16A7">
        <w:rPr>
          <w:rFonts w:ascii="Arial" w:hAnsi="Arial" w:cs="Arial"/>
          <w:b/>
          <w:bCs/>
          <w:sz w:val="24"/>
          <w:szCs w:val="24"/>
          <w:lang w:val="en-US"/>
        </w:rPr>
        <w:t>B</w:t>
      </w:r>
      <w:r w:rsidRPr="00202C2F">
        <w:rPr>
          <w:rFonts w:ascii="Arial" w:hAnsi="Arial" w:cs="Arial"/>
          <w:b/>
          <w:bCs/>
          <w:sz w:val="24"/>
          <w:szCs w:val="24"/>
          <w:lang w:val="en-US"/>
        </w:rPr>
        <w:t>)</w:t>
      </w:r>
      <w:r w:rsidRPr="00202C2F">
        <w:rPr>
          <w:rFonts w:ascii="Arial" w:hAnsi="Arial" w:cs="Arial"/>
          <w:sz w:val="24"/>
          <w:szCs w:val="24"/>
          <w:lang w:val="en-US"/>
        </w:rPr>
        <w:t xml:space="preserve"> Representation of BRD4 distribution (from </w:t>
      </w:r>
      <w:proofErr w:type="spellStart"/>
      <w:r w:rsidRPr="00202C2F">
        <w:rPr>
          <w:rFonts w:ascii="Arial" w:hAnsi="Arial" w:cs="Arial"/>
          <w:sz w:val="24"/>
          <w:szCs w:val="24"/>
          <w:lang w:val="en-US"/>
        </w:rPr>
        <w:t>ChIP</w:t>
      </w:r>
      <w:proofErr w:type="spellEnd"/>
      <w:r w:rsidRPr="00202C2F">
        <w:rPr>
          <w:rFonts w:ascii="Arial" w:hAnsi="Arial" w:cs="Arial"/>
          <w:sz w:val="24"/>
          <w:szCs w:val="24"/>
          <w:lang w:val="en-US"/>
        </w:rPr>
        <w:t xml:space="preserve"> sequencing) in the</w:t>
      </w:r>
      <w:r w:rsidR="00CB16A7">
        <w:rPr>
          <w:rFonts w:ascii="Arial" w:hAnsi="Arial" w:cs="Arial"/>
          <w:sz w:val="24"/>
          <w:szCs w:val="24"/>
          <w:lang w:val="en-US"/>
        </w:rPr>
        <w:t xml:space="preserve"> Bcl3 gene promoter in untreated or </w:t>
      </w:r>
      <w:r w:rsidRPr="00202C2F">
        <w:rPr>
          <w:rFonts w:ascii="Arial" w:hAnsi="Arial" w:cs="Arial"/>
          <w:sz w:val="24"/>
          <w:szCs w:val="24"/>
          <w:lang w:val="en-US"/>
        </w:rPr>
        <w:t>IR</w:t>
      </w:r>
      <w:r w:rsidR="00CB16A7">
        <w:rPr>
          <w:rFonts w:ascii="Arial" w:hAnsi="Arial" w:cs="Arial"/>
          <w:sz w:val="24"/>
          <w:szCs w:val="24"/>
          <w:lang w:val="en-US"/>
        </w:rPr>
        <w:t xml:space="preserve">-treated WT and </w:t>
      </w:r>
      <w:r w:rsidRPr="00202C2F">
        <w:rPr>
          <w:rFonts w:ascii="Arial" w:hAnsi="Arial" w:cs="Arial"/>
          <w:sz w:val="24"/>
          <w:szCs w:val="24"/>
          <w:lang w:val="en-US"/>
        </w:rPr>
        <w:t>IKK</w:t>
      </w:r>
      <w:r w:rsidRPr="00202C2F">
        <w:rPr>
          <w:rFonts w:ascii="Arial" w:hAnsi="Arial" w:cs="Arial"/>
          <w:sz w:val="24"/>
          <w:szCs w:val="24"/>
          <w:lang w:val="en-US"/>
        </w:rPr>
        <w:sym w:font="Symbol" w:char="F061"/>
      </w:r>
      <w:r w:rsidR="00CB16A7">
        <w:rPr>
          <w:rFonts w:ascii="Arial" w:hAnsi="Arial" w:cs="Arial"/>
          <w:sz w:val="24"/>
          <w:szCs w:val="24"/>
          <w:lang w:val="en-US"/>
        </w:rPr>
        <w:t xml:space="preserve"> KO </w:t>
      </w:r>
      <w:proofErr w:type="spellStart"/>
      <w:r w:rsidR="00CB16A7" w:rsidRPr="00202C2F">
        <w:rPr>
          <w:rFonts w:ascii="Arial" w:hAnsi="Arial" w:cs="Arial"/>
          <w:sz w:val="24"/>
          <w:szCs w:val="24"/>
          <w:lang w:val="en-US"/>
        </w:rPr>
        <w:t>APC</w:t>
      </w:r>
      <w:r w:rsidR="00CB16A7" w:rsidRPr="00202C2F">
        <w:rPr>
          <w:rFonts w:ascii="Arial" w:hAnsi="Arial" w:cs="Arial"/>
          <w:sz w:val="24"/>
          <w:szCs w:val="24"/>
          <w:vertAlign w:val="superscript"/>
          <w:lang w:val="en-US"/>
        </w:rPr>
        <w:t>Min</w:t>
      </w:r>
      <w:proofErr w:type="spellEnd"/>
      <w:r w:rsidR="00CB16A7" w:rsidRPr="00202C2F">
        <w:rPr>
          <w:rFonts w:ascii="Arial" w:hAnsi="Arial" w:cs="Arial"/>
          <w:sz w:val="24"/>
          <w:szCs w:val="24"/>
          <w:vertAlign w:val="superscript"/>
          <w:lang w:val="en-US"/>
        </w:rPr>
        <w:t>/+</w:t>
      </w:r>
      <w:r w:rsidR="00CB16A7" w:rsidRPr="00202C2F">
        <w:rPr>
          <w:rFonts w:ascii="Arial" w:hAnsi="Arial" w:cs="Arial"/>
          <w:sz w:val="24"/>
          <w:szCs w:val="24"/>
          <w:lang w:val="en-US"/>
        </w:rPr>
        <w:t xml:space="preserve"> organoids</w:t>
      </w:r>
      <w:r w:rsidR="00CB16A7">
        <w:rPr>
          <w:rFonts w:ascii="Arial" w:hAnsi="Arial" w:cs="Arial"/>
          <w:sz w:val="24"/>
          <w:szCs w:val="24"/>
          <w:lang w:val="en-US"/>
        </w:rPr>
        <w:t>.</w:t>
      </w:r>
      <w:r w:rsidR="007B0D87">
        <w:rPr>
          <w:rFonts w:ascii="Arial" w:hAnsi="Arial" w:cs="Arial"/>
          <w:sz w:val="24"/>
          <w:szCs w:val="24"/>
          <w:lang w:val="en-US"/>
        </w:rPr>
        <w:t xml:space="preserve"> The promoter region that is specifically bound by BRD4 in IR-treated </w:t>
      </w:r>
      <w:r w:rsidR="007B0D87" w:rsidRPr="00202C2F">
        <w:rPr>
          <w:rFonts w:ascii="Arial" w:hAnsi="Arial" w:cs="Arial"/>
          <w:sz w:val="24"/>
          <w:szCs w:val="24"/>
          <w:lang w:val="en-US"/>
        </w:rPr>
        <w:t>IKK</w:t>
      </w:r>
      <w:r w:rsidR="007B0D87" w:rsidRPr="00202C2F">
        <w:rPr>
          <w:rFonts w:ascii="Arial" w:hAnsi="Arial" w:cs="Arial"/>
          <w:sz w:val="24"/>
          <w:szCs w:val="24"/>
          <w:lang w:val="en-US"/>
        </w:rPr>
        <w:sym w:font="Symbol" w:char="F061"/>
      </w:r>
      <w:r w:rsidR="007B0D87">
        <w:rPr>
          <w:rFonts w:ascii="Arial" w:hAnsi="Arial" w:cs="Arial"/>
          <w:sz w:val="24"/>
          <w:szCs w:val="24"/>
          <w:lang w:val="en-US"/>
        </w:rPr>
        <w:t xml:space="preserve"> WT cells is outlined in the figure. </w:t>
      </w:r>
    </w:p>
    <w:p w14:paraId="00A309AF" w14:textId="496BF386" w:rsidR="00011421" w:rsidRDefault="00173195" w:rsidP="00F73BCC">
      <w:pPr>
        <w:tabs>
          <w:tab w:val="left" w:pos="1185"/>
        </w:tabs>
        <w:spacing w:line="360" w:lineRule="auto"/>
        <w:contextualSpacing/>
        <w:jc w:val="both"/>
        <w:rPr>
          <w:rFonts w:ascii="Arial" w:hAnsi="Arial" w:cs="Arial"/>
          <w:b/>
          <w:bCs/>
          <w:color w:val="833C0B" w:themeColor="accent2" w:themeShade="80"/>
        </w:rPr>
      </w:pPr>
      <w:r>
        <w:rPr>
          <w:rFonts w:ascii="Arial" w:hAnsi="Arial" w:cs="Arial"/>
          <w:b/>
          <w:bCs/>
          <w:noProof/>
          <w:color w:val="833C0B" w:themeColor="accent2" w:themeShade="80"/>
        </w:rPr>
        <w:lastRenderedPageBreak/>
        <w:drawing>
          <wp:inline distT="0" distB="0" distL="0" distR="0" wp14:anchorId="4D6A4358" wp14:editId="5F2FE39C">
            <wp:extent cx="5400040" cy="3486531"/>
            <wp:effectExtent l="0" t="0" r="0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4"/>
                    <a:stretch/>
                  </pic:blipFill>
                  <pic:spPr bwMode="auto">
                    <a:xfrm>
                      <a:off x="0" y="0"/>
                      <a:ext cx="5400040" cy="3486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822A5B" w14:textId="390B46AC" w:rsidR="00F20BEB" w:rsidRPr="00202C2F" w:rsidRDefault="00F20BEB" w:rsidP="00F73BCC">
      <w:pPr>
        <w:tabs>
          <w:tab w:val="left" w:pos="1185"/>
        </w:tabs>
        <w:spacing w:line="360" w:lineRule="auto"/>
        <w:contextualSpacing/>
        <w:jc w:val="both"/>
        <w:rPr>
          <w:rFonts w:ascii="Arial" w:hAnsi="Arial" w:cs="Arial"/>
          <w:b/>
          <w:bCs/>
          <w:color w:val="833C0B" w:themeColor="accent2" w:themeShade="80"/>
        </w:rPr>
      </w:pPr>
      <w:r w:rsidRPr="00202C2F">
        <w:rPr>
          <w:rFonts w:ascii="Arial" w:hAnsi="Arial" w:cs="Arial"/>
          <w:b/>
          <w:bCs/>
          <w:color w:val="833C0B" w:themeColor="accent2" w:themeShade="80"/>
        </w:rPr>
        <w:t>Figure S</w:t>
      </w:r>
      <w:r w:rsidR="00F536AD">
        <w:rPr>
          <w:rFonts w:ascii="Arial" w:hAnsi="Arial" w:cs="Arial"/>
          <w:b/>
          <w:bCs/>
          <w:color w:val="833C0B" w:themeColor="accent2" w:themeShade="80"/>
        </w:rPr>
        <w:t>4</w:t>
      </w:r>
      <w:r w:rsidRPr="00202C2F">
        <w:rPr>
          <w:rFonts w:ascii="Arial" w:hAnsi="Arial" w:cs="Arial"/>
          <w:b/>
          <w:bCs/>
          <w:color w:val="833C0B" w:themeColor="accent2" w:themeShade="80"/>
        </w:rPr>
        <w:t>. IKK</w:t>
      </w:r>
      <w:r w:rsidRPr="00202C2F">
        <w:rPr>
          <w:rFonts w:ascii="Arial" w:hAnsi="Arial" w:cs="Arial"/>
          <w:b/>
          <w:bCs/>
        </w:rPr>
        <w:sym w:font="Symbol" w:char="F061"/>
      </w:r>
      <w:r w:rsidRPr="00202C2F">
        <w:rPr>
          <w:rFonts w:ascii="Arial" w:hAnsi="Arial" w:cs="Arial"/>
          <w:b/>
          <w:bCs/>
          <w:color w:val="833C0B" w:themeColor="accent2" w:themeShade="80"/>
        </w:rPr>
        <w:t xml:space="preserve"> facilitates STAT3 phosphorylation and transcriptional activity after damage.</w:t>
      </w:r>
    </w:p>
    <w:p w14:paraId="0981ACE5" w14:textId="22ABD0F4" w:rsidR="00F536AD" w:rsidRDefault="00F20BEB" w:rsidP="00F73BCC">
      <w:pPr>
        <w:tabs>
          <w:tab w:val="left" w:pos="1185"/>
        </w:tabs>
        <w:spacing w:line="360" w:lineRule="auto"/>
        <w:contextualSpacing/>
        <w:jc w:val="both"/>
        <w:rPr>
          <w:rFonts w:ascii="Arial" w:hAnsi="Arial" w:cs="Arial"/>
        </w:rPr>
      </w:pPr>
      <w:r w:rsidRPr="00202C2F">
        <w:rPr>
          <w:rFonts w:ascii="Arial" w:hAnsi="Arial" w:cs="Arial"/>
          <w:b/>
          <w:bCs/>
        </w:rPr>
        <w:t>(A</w:t>
      </w:r>
      <w:r w:rsidR="00F536AD">
        <w:rPr>
          <w:rFonts w:ascii="Arial" w:hAnsi="Arial" w:cs="Arial"/>
          <w:b/>
          <w:bCs/>
        </w:rPr>
        <w:t>, B</w:t>
      </w:r>
      <w:r w:rsidRPr="00202C2F">
        <w:rPr>
          <w:rFonts w:ascii="Arial" w:hAnsi="Arial" w:cs="Arial"/>
          <w:b/>
          <w:bCs/>
        </w:rPr>
        <w:t>)</w:t>
      </w:r>
      <w:r w:rsidRPr="00202C2F">
        <w:rPr>
          <w:rFonts w:ascii="Arial" w:hAnsi="Arial" w:cs="Arial"/>
        </w:rPr>
        <w:t xml:space="preserve"> </w:t>
      </w:r>
      <w:r w:rsidRPr="00202C2F">
        <w:rPr>
          <w:rFonts w:ascii="Arial" w:hAnsi="Arial" w:cs="Arial"/>
          <w:color w:val="000000" w:themeColor="text1"/>
        </w:rPr>
        <w:t>WB analysis of</w:t>
      </w:r>
      <w:r w:rsidRPr="00202C2F">
        <w:rPr>
          <w:rFonts w:ascii="Arial" w:hAnsi="Arial" w:cs="Arial"/>
        </w:rPr>
        <w:t xml:space="preserve"> WT and IKK</w:t>
      </w:r>
      <w:r w:rsidRPr="00202C2F">
        <w:rPr>
          <w:rFonts w:ascii="Arial" w:hAnsi="Arial" w:cs="Arial"/>
        </w:rPr>
        <w:sym w:font="Symbol" w:char="F061"/>
      </w:r>
      <w:r w:rsidRPr="00202C2F">
        <w:rPr>
          <w:rFonts w:ascii="Arial" w:hAnsi="Arial" w:cs="Arial"/>
        </w:rPr>
        <w:t xml:space="preserve"> KO Hela cells</w:t>
      </w:r>
      <w:r w:rsidR="00F536AD">
        <w:rPr>
          <w:rFonts w:ascii="Arial" w:hAnsi="Arial" w:cs="Arial"/>
        </w:rPr>
        <w:t xml:space="preserve"> (A) and PDO5 cells (B)</w:t>
      </w:r>
      <w:r w:rsidRPr="00202C2F">
        <w:rPr>
          <w:rFonts w:ascii="Arial" w:hAnsi="Arial" w:cs="Arial"/>
        </w:rPr>
        <w:t xml:space="preserve"> after </w:t>
      </w:r>
      <w:r w:rsidR="00F536AD">
        <w:rPr>
          <w:rFonts w:ascii="Arial" w:hAnsi="Arial" w:cs="Arial"/>
        </w:rPr>
        <w:t xml:space="preserve">treatment with </w:t>
      </w:r>
      <w:r w:rsidRPr="00202C2F">
        <w:rPr>
          <w:rFonts w:ascii="Arial" w:hAnsi="Arial" w:cs="Arial"/>
        </w:rPr>
        <w:t>5-FU+Iri. (1</w:t>
      </w:r>
      <w:r w:rsidRPr="00202C2F">
        <w:rPr>
          <w:rFonts w:ascii="Arial" w:hAnsi="Arial" w:cs="Arial"/>
          <w:color w:val="000000" w:themeColor="text1"/>
        </w:rPr>
        <w:t xml:space="preserve"> µg/ml</w:t>
      </w:r>
      <w:r w:rsidRPr="00202C2F">
        <w:rPr>
          <w:rFonts w:ascii="Arial" w:hAnsi="Arial" w:cs="Arial"/>
        </w:rPr>
        <w:t>)</w:t>
      </w:r>
      <w:r w:rsidR="00F536AD">
        <w:rPr>
          <w:rFonts w:ascii="Arial" w:hAnsi="Arial" w:cs="Arial"/>
        </w:rPr>
        <w:t xml:space="preserve"> </w:t>
      </w:r>
      <w:r w:rsidRPr="00202C2F">
        <w:rPr>
          <w:rFonts w:ascii="Arial" w:hAnsi="Arial" w:cs="Arial"/>
        </w:rPr>
        <w:t>at the indicated time points.</w:t>
      </w:r>
    </w:p>
    <w:p w14:paraId="46460DBB" w14:textId="0B64F260" w:rsidR="00F20BEB" w:rsidRPr="00F536AD" w:rsidRDefault="00F536AD" w:rsidP="00F73BCC">
      <w:pPr>
        <w:tabs>
          <w:tab w:val="left" w:pos="1185"/>
        </w:tabs>
        <w:spacing w:line="360" w:lineRule="auto"/>
        <w:contextualSpacing/>
        <w:jc w:val="both"/>
        <w:rPr>
          <w:rFonts w:ascii="Arial" w:hAnsi="Arial" w:cs="Arial"/>
        </w:rPr>
      </w:pPr>
      <w:r w:rsidRPr="00202C2F">
        <w:rPr>
          <w:rFonts w:ascii="Arial" w:hAnsi="Arial" w:cs="Arial"/>
          <w:b/>
          <w:bCs/>
        </w:rPr>
        <w:t>(C)</w:t>
      </w:r>
      <w:r w:rsidRPr="00202C2F">
        <w:rPr>
          <w:rFonts w:ascii="Arial" w:hAnsi="Arial" w:cs="Arial"/>
          <w:color w:val="000000" w:themeColor="text1"/>
        </w:rPr>
        <w:t xml:space="preserve"> </w:t>
      </w:r>
      <w:r w:rsidR="00F20BEB" w:rsidRPr="00202C2F">
        <w:rPr>
          <w:rFonts w:ascii="Arial" w:hAnsi="Arial" w:cs="Arial"/>
        </w:rPr>
        <w:t>WB analysis of HT29 CRC cells untreated or pretreated with the BRAF inhibitor AZ628</w:t>
      </w:r>
      <w:r>
        <w:rPr>
          <w:rFonts w:ascii="Arial" w:hAnsi="Arial" w:cs="Arial"/>
        </w:rPr>
        <w:t xml:space="preserve"> for 16 hours</w:t>
      </w:r>
      <w:r w:rsidR="00F20BEB" w:rsidRPr="00202C2F">
        <w:rPr>
          <w:rFonts w:ascii="Arial" w:hAnsi="Arial" w:cs="Arial"/>
        </w:rPr>
        <w:t xml:space="preserve"> and then exposed to IR.</w:t>
      </w:r>
    </w:p>
    <w:p w14:paraId="0150E28E" w14:textId="2088EACA" w:rsidR="00173195" w:rsidRDefault="00173195" w:rsidP="00F73BCC">
      <w:pPr>
        <w:tabs>
          <w:tab w:val="left" w:pos="1185"/>
        </w:tabs>
        <w:spacing w:line="360" w:lineRule="auto"/>
        <w:contextualSpacing/>
        <w:jc w:val="both"/>
        <w:rPr>
          <w:rFonts w:ascii="Arial" w:hAnsi="Arial" w:cs="Arial"/>
          <w:b/>
          <w:bCs/>
          <w:color w:val="000000" w:themeColor="text1"/>
        </w:rPr>
      </w:pPr>
      <w:r w:rsidRPr="00202C2F">
        <w:rPr>
          <w:rFonts w:ascii="Arial" w:hAnsi="Arial" w:cs="Arial"/>
          <w:b/>
          <w:bCs/>
          <w:color w:val="000000" w:themeColor="text1"/>
        </w:rPr>
        <w:t>(</w:t>
      </w:r>
      <w:r>
        <w:rPr>
          <w:rFonts w:ascii="Arial" w:hAnsi="Arial" w:cs="Arial"/>
          <w:b/>
          <w:bCs/>
          <w:color w:val="000000" w:themeColor="text1"/>
        </w:rPr>
        <w:t>D</w:t>
      </w:r>
      <w:r w:rsidRPr="00202C2F">
        <w:rPr>
          <w:rFonts w:ascii="Arial" w:hAnsi="Arial" w:cs="Arial"/>
          <w:b/>
          <w:bCs/>
          <w:color w:val="000000" w:themeColor="text1"/>
        </w:rPr>
        <w:t>)</w:t>
      </w:r>
      <w:r w:rsidRPr="00202C2F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qPCR analysis of</w:t>
      </w:r>
      <w:r w:rsidRPr="00F536AD">
        <w:rPr>
          <w:rFonts w:ascii="Arial" w:hAnsi="Arial" w:cs="Arial"/>
          <w:i/>
          <w:iCs/>
          <w:color w:val="000000" w:themeColor="text1"/>
        </w:rPr>
        <w:t xml:space="preserve"> </w:t>
      </w:r>
      <w:r>
        <w:rPr>
          <w:rFonts w:ascii="Arial" w:hAnsi="Arial" w:cs="Arial"/>
          <w:i/>
          <w:iCs/>
          <w:color w:val="000000" w:themeColor="text1"/>
        </w:rPr>
        <w:t>IL6</w:t>
      </w:r>
      <w:r>
        <w:rPr>
          <w:rFonts w:ascii="Arial" w:hAnsi="Arial" w:cs="Arial"/>
          <w:color w:val="000000" w:themeColor="text1"/>
        </w:rPr>
        <w:t xml:space="preserve"> mRNA levels in the indicated</w:t>
      </w:r>
      <w:r w:rsidRPr="00173195">
        <w:rPr>
          <w:rFonts w:ascii="Arial" w:hAnsi="Arial" w:cs="Arial"/>
        </w:rPr>
        <w:t xml:space="preserve"> </w:t>
      </w:r>
      <w:r w:rsidRPr="00202C2F">
        <w:rPr>
          <w:rFonts w:ascii="Arial" w:hAnsi="Arial" w:cs="Arial"/>
        </w:rPr>
        <w:t>IKK</w:t>
      </w:r>
      <w:r w:rsidRPr="00202C2F">
        <w:rPr>
          <w:rFonts w:ascii="Arial" w:hAnsi="Arial" w:cs="Arial"/>
        </w:rPr>
        <w:sym w:font="Symbol" w:char="F061"/>
      </w:r>
      <w:r w:rsidRPr="00202C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WT and </w:t>
      </w:r>
      <w:r w:rsidRPr="00202C2F">
        <w:rPr>
          <w:rFonts w:ascii="Arial" w:hAnsi="Arial" w:cs="Arial"/>
        </w:rPr>
        <w:t>KO</w:t>
      </w:r>
      <w:r>
        <w:rPr>
          <w:rFonts w:ascii="Arial" w:hAnsi="Arial" w:cs="Arial"/>
        </w:rPr>
        <w:t xml:space="preserve"> cells.</w:t>
      </w:r>
    </w:p>
    <w:p w14:paraId="28975B4A" w14:textId="49EC1791" w:rsidR="00F536AD" w:rsidRDefault="00F20BEB" w:rsidP="00F73BCC">
      <w:pPr>
        <w:tabs>
          <w:tab w:val="left" w:pos="1185"/>
        </w:tabs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202C2F">
        <w:rPr>
          <w:rFonts w:ascii="Arial" w:hAnsi="Arial" w:cs="Arial"/>
          <w:b/>
          <w:bCs/>
          <w:color w:val="000000" w:themeColor="text1"/>
        </w:rPr>
        <w:t>(</w:t>
      </w:r>
      <w:r w:rsidR="00173195">
        <w:rPr>
          <w:rFonts w:ascii="Arial" w:hAnsi="Arial" w:cs="Arial"/>
          <w:b/>
          <w:bCs/>
          <w:color w:val="000000" w:themeColor="text1"/>
        </w:rPr>
        <w:t>E</w:t>
      </w:r>
      <w:r w:rsidRPr="00202C2F">
        <w:rPr>
          <w:rFonts w:ascii="Arial" w:hAnsi="Arial" w:cs="Arial"/>
          <w:b/>
          <w:bCs/>
          <w:color w:val="000000" w:themeColor="text1"/>
        </w:rPr>
        <w:t>)</w:t>
      </w:r>
      <w:r w:rsidRPr="00202C2F">
        <w:rPr>
          <w:rFonts w:ascii="Arial" w:hAnsi="Arial" w:cs="Arial"/>
          <w:color w:val="000000" w:themeColor="text1"/>
        </w:rPr>
        <w:t xml:space="preserve"> </w:t>
      </w:r>
      <w:r w:rsidR="00F536AD">
        <w:rPr>
          <w:rFonts w:ascii="Arial" w:hAnsi="Arial" w:cs="Arial"/>
          <w:color w:val="000000" w:themeColor="text1"/>
        </w:rPr>
        <w:t>qPCR analysis of</w:t>
      </w:r>
      <w:r w:rsidR="00F536AD" w:rsidRPr="00F536AD">
        <w:rPr>
          <w:rFonts w:ascii="Arial" w:hAnsi="Arial" w:cs="Arial"/>
          <w:i/>
          <w:iCs/>
          <w:color w:val="000000" w:themeColor="text1"/>
        </w:rPr>
        <w:t xml:space="preserve"> LIF</w:t>
      </w:r>
      <w:r w:rsidR="00F536AD">
        <w:rPr>
          <w:rFonts w:ascii="Arial" w:hAnsi="Arial" w:cs="Arial"/>
          <w:color w:val="000000" w:themeColor="text1"/>
        </w:rPr>
        <w:t xml:space="preserve"> mRNA levels in MEFs cells transduced with control </w:t>
      </w:r>
      <w:proofErr w:type="spellStart"/>
      <w:r w:rsidR="00F536AD">
        <w:rPr>
          <w:rFonts w:ascii="Arial" w:hAnsi="Arial" w:cs="Arial"/>
          <w:color w:val="000000" w:themeColor="text1"/>
        </w:rPr>
        <w:t>sh</w:t>
      </w:r>
      <w:proofErr w:type="spellEnd"/>
      <w:r w:rsidR="00F536AD">
        <w:rPr>
          <w:rFonts w:ascii="Arial" w:hAnsi="Arial" w:cs="Arial"/>
          <w:color w:val="000000" w:themeColor="text1"/>
        </w:rPr>
        <w:t xml:space="preserve">-RNA or two different </w:t>
      </w:r>
      <w:proofErr w:type="spellStart"/>
      <w:r w:rsidR="00F536AD">
        <w:rPr>
          <w:rFonts w:ascii="Arial" w:hAnsi="Arial" w:cs="Arial"/>
          <w:color w:val="000000" w:themeColor="text1"/>
        </w:rPr>
        <w:t>sh</w:t>
      </w:r>
      <w:proofErr w:type="spellEnd"/>
      <w:r w:rsidR="00F536AD">
        <w:rPr>
          <w:rFonts w:ascii="Arial" w:hAnsi="Arial" w:cs="Arial"/>
          <w:color w:val="000000" w:themeColor="text1"/>
        </w:rPr>
        <w:t xml:space="preserve">-RNAs against </w:t>
      </w:r>
      <w:r w:rsidR="00F536AD" w:rsidRPr="00F536AD">
        <w:rPr>
          <w:rFonts w:ascii="Arial" w:hAnsi="Arial" w:cs="Arial"/>
          <w:i/>
          <w:iCs/>
          <w:color w:val="000000" w:themeColor="text1"/>
        </w:rPr>
        <w:t>LIF</w:t>
      </w:r>
      <w:r w:rsidR="00F536AD">
        <w:rPr>
          <w:rFonts w:ascii="Arial" w:hAnsi="Arial" w:cs="Arial"/>
          <w:color w:val="000000" w:themeColor="text1"/>
        </w:rPr>
        <w:t>.</w:t>
      </w:r>
    </w:p>
    <w:p w14:paraId="1F389250" w14:textId="794E75D5" w:rsidR="00F20BEB" w:rsidRDefault="008649A9" w:rsidP="00F73BCC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20B5488" wp14:editId="62964066">
            <wp:extent cx="5400040" cy="5178658"/>
            <wp:effectExtent l="0" t="0" r="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9"/>
                    <a:stretch/>
                  </pic:blipFill>
                  <pic:spPr bwMode="auto">
                    <a:xfrm>
                      <a:off x="0" y="0"/>
                      <a:ext cx="5400040" cy="5178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1DA9B" w14:textId="431ABDF4" w:rsidR="00F20BEB" w:rsidRPr="00202C2F" w:rsidRDefault="00F20BEB" w:rsidP="00F73BCC">
      <w:pPr>
        <w:spacing w:line="360" w:lineRule="auto"/>
        <w:contextualSpacing/>
        <w:jc w:val="both"/>
        <w:rPr>
          <w:rFonts w:ascii="Arial" w:hAnsi="Arial" w:cs="Arial"/>
          <w:b/>
          <w:bCs/>
          <w:color w:val="833C0B" w:themeColor="accent2" w:themeShade="80"/>
        </w:rPr>
      </w:pPr>
      <w:r w:rsidRPr="00202C2F">
        <w:rPr>
          <w:rFonts w:ascii="Arial" w:hAnsi="Arial" w:cs="Arial"/>
          <w:b/>
          <w:bCs/>
          <w:color w:val="833C0B" w:themeColor="accent2" w:themeShade="80"/>
        </w:rPr>
        <w:t>Figure S</w:t>
      </w:r>
      <w:r w:rsidR="00C13580">
        <w:rPr>
          <w:rFonts w:ascii="Arial" w:hAnsi="Arial" w:cs="Arial"/>
          <w:b/>
          <w:bCs/>
          <w:color w:val="833C0B" w:themeColor="accent2" w:themeShade="80"/>
        </w:rPr>
        <w:t>5</w:t>
      </w:r>
      <w:r w:rsidRPr="00202C2F">
        <w:rPr>
          <w:rFonts w:ascii="Arial" w:hAnsi="Arial" w:cs="Arial"/>
          <w:b/>
          <w:bCs/>
          <w:color w:val="833C0B" w:themeColor="accent2" w:themeShade="80"/>
        </w:rPr>
        <w:t>. Increased cell death of IKKα KO cells in response to CT.</w:t>
      </w:r>
    </w:p>
    <w:p w14:paraId="04C6DAB9" w14:textId="765022F9" w:rsidR="00F20BEB" w:rsidRDefault="00F20BEB" w:rsidP="00F73BCC">
      <w:pPr>
        <w:spacing w:line="360" w:lineRule="auto"/>
        <w:contextualSpacing/>
        <w:jc w:val="both"/>
        <w:rPr>
          <w:rFonts w:ascii="Arial" w:hAnsi="Arial" w:cs="Arial"/>
          <w:bCs/>
          <w:color w:val="000000" w:themeColor="text1"/>
        </w:rPr>
      </w:pPr>
      <w:r w:rsidRPr="00265A20">
        <w:rPr>
          <w:rFonts w:ascii="Arial" w:hAnsi="Arial" w:cs="Arial"/>
          <w:b/>
          <w:color w:val="000000" w:themeColor="text1"/>
        </w:rPr>
        <w:t>(</w:t>
      </w:r>
      <w:r w:rsidR="00C13580">
        <w:rPr>
          <w:rFonts w:ascii="Arial" w:hAnsi="Arial" w:cs="Arial"/>
          <w:b/>
          <w:color w:val="000000" w:themeColor="text1"/>
        </w:rPr>
        <w:t>A</w:t>
      </w:r>
      <w:r>
        <w:rPr>
          <w:rFonts w:ascii="Arial" w:hAnsi="Arial" w:cs="Arial"/>
          <w:b/>
          <w:color w:val="000000" w:themeColor="text1"/>
        </w:rPr>
        <w:t xml:space="preserve">, </w:t>
      </w:r>
      <w:r w:rsidR="00C13580">
        <w:rPr>
          <w:rFonts w:ascii="Arial" w:hAnsi="Arial" w:cs="Arial"/>
          <w:b/>
          <w:color w:val="000000" w:themeColor="text1"/>
        </w:rPr>
        <w:t>B</w:t>
      </w:r>
      <w:r w:rsidRPr="00265A20">
        <w:rPr>
          <w:rFonts w:ascii="Arial" w:hAnsi="Arial" w:cs="Arial"/>
          <w:b/>
          <w:color w:val="000000" w:themeColor="text1"/>
        </w:rPr>
        <w:t>)</w:t>
      </w:r>
      <w:r>
        <w:rPr>
          <w:rFonts w:ascii="Arial" w:hAnsi="Arial" w:cs="Arial"/>
          <w:bCs/>
          <w:color w:val="000000" w:themeColor="text1"/>
        </w:rPr>
        <w:t xml:space="preserve"> Dose response assay of PDO</w:t>
      </w:r>
      <w:r w:rsidR="00EB57D7">
        <w:rPr>
          <w:rFonts w:ascii="Arial" w:hAnsi="Arial" w:cs="Arial"/>
          <w:bCs/>
          <w:color w:val="000000" w:themeColor="text1"/>
        </w:rPr>
        <w:t>4</w:t>
      </w:r>
      <w:r>
        <w:rPr>
          <w:rFonts w:ascii="Arial" w:hAnsi="Arial" w:cs="Arial"/>
          <w:bCs/>
          <w:color w:val="000000" w:themeColor="text1"/>
        </w:rPr>
        <w:t xml:space="preserve"> (G) and PDO5 cells (H) treated as indicated.</w:t>
      </w:r>
    </w:p>
    <w:p w14:paraId="5BC1A1D4" w14:textId="5A1F3BBD" w:rsidR="00F20BEB" w:rsidRDefault="00F20BEB" w:rsidP="00997C13">
      <w:pPr>
        <w:spacing w:line="360" w:lineRule="auto"/>
        <w:contextualSpacing/>
        <w:jc w:val="both"/>
        <w:rPr>
          <w:rFonts w:ascii="Arial" w:hAnsi="Arial" w:cs="Arial"/>
          <w:bCs/>
          <w:color w:val="000000" w:themeColor="text1"/>
        </w:rPr>
      </w:pPr>
      <w:r w:rsidRPr="002823CC">
        <w:rPr>
          <w:rFonts w:ascii="Arial" w:hAnsi="Arial" w:cs="Arial"/>
          <w:b/>
          <w:color w:val="000000" w:themeColor="text1"/>
        </w:rPr>
        <w:t>(</w:t>
      </w:r>
      <w:r w:rsidR="00C13580">
        <w:rPr>
          <w:rFonts w:ascii="Arial" w:hAnsi="Arial" w:cs="Arial"/>
          <w:b/>
          <w:color w:val="000000" w:themeColor="text1"/>
        </w:rPr>
        <w:t>C</w:t>
      </w:r>
      <w:r w:rsidRPr="002823CC">
        <w:rPr>
          <w:rFonts w:ascii="Arial" w:hAnsi="Arial" w:cs="Arial"/>
          <w:b/>
          <w:color w:val="000000" w:themeColor="text1"/>
        </w:rPr>
        <w:t>)</w:t>
      </w:r>
      <w:r>
        <w:rPr>
          <w:rFonts w:ascii="Arial" w:hAnsi="Arial" w:cs="Arial"/>
          <w:bCs/>
          <w:color w:val="000000" w:themeColor="text1"/>
        </w:rPr>
        <w:t xml:space="preserve"> Representative image of ki67 staining in the normal colonic mucosa adjacent to the tumors treated with the triple combination 5-FU+Iri. </w:t>
      </w:r>
      <w:proofErr w:type="gramStart"/>
      <w:r>
        <w:rPr>
          <w:rFonts w:ascii="Arial" w:hAnsi="Arial" w:cs="Arial"/>
          <w:bCs/>
          <w:color w:val="000000" w:themeColor="text1"/>
        </w:rPr>
        <w:t>plus</w:t>
      </w:r>
      <w:proofErr w:type="gramEnd"/>
      <w:r>
        <w:rPr>
          <w:rFonts w:ascii="Arial" w:hAnsi="Arial" w:cs="Arial"/>
          <w:bCs/>
          <w:color w:val="000000" w:themeColor="text1"/>
        </w:rPr>
        <w:t xml:space="preserve"> vemurafenib plus ruxolitinib.</w:t>
      </w:r>
    </w:p>
    <w:p w14:paraId="503A1E4E" w14:textId="4AECFA6C" w:rsidR="00CA271A" w:rsidRDefault="00CC217E" w:rsidP="00997C13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CC217E">
        <w:rPr>
          <w:rFonts w:ascii="Arial" w:hAnsi="Arial" w:cs="Arial"/>
          <w:b/>
          <w:color w:val="000000" w:themeColor="text1"/>
        </w:rPr>
        <w:t>(D-</w:t>
      </w:r>
      <w:r w:rsidR="00173195">
        <w:rPr>
          <w:rFonts w:ascii="Arial" w:hAnsi="Arial" w:cs="Arial"/>
          <w:b/>
          <w:color w:val="000000" w:themeColor="text1"/>
        </w:rPr>
        <w:t>G</w:t>
      </w:r>
      <w:r w:rsidRPr="00CC217E">
        <w:rPr>
          <w:rFonts w:ascii="Arial" w:hAnsi="Arial" w:cs="Arial"/>
          <w:b/>
          <w:color w:val="000000" w:themeColor="text1"/>
        </w:rPr>
        <w:t>)</w:t>
      </w:r>
      <w:r w:rsidRPr="00CC217E">
        <w:rPr>
          <w:rFonts w:ascii="Arial" w:hAnsi="Arial" w:cs="Arial"/>
          <w:bCs/>
          <w:color w:val="000000" w:themeColor="text1"/>
        </w:rPr>
        <w:t xml:space="preserve"> </w:t>
      </w:r>
      <w:r w:rsidRPr="00FA43B8">
        <w:rPr>
          <w:rFonts w:ascii="Arial" w:hAnsi="Arial" w:cs="Arial"/>
          <w:bCs/>
          <w:color w:val="000000" w:themeColor="text1"/>
        </w:rPr>
        <w:t>Photograph of tumors recovered from</w:t>
      </w:r>
      <w:r w:rsidR="00EB57D7">
        <w:rPr>
          <w:rFonts w:ascii="Arial" w:hAnsi="Arial" w:cs="Arial"/>
          <w:bCs/>
          <w:color w:val="000000" w:themeColor="text1"/>
        </w:rPr>
        <w:t xml:space="preserve"> </w:t>
      </w:r>
      <w:r w:rsidRPr="00FA43B8">
        <w:rPr>
          <w:rFonts w:ascii="Arial" w:hAnsi="Arial" w:cs="Arial"/>
          <w:bCs/>
          <w:color w:val="000000" w:themeColor="text1"/>
        </w:rPr>
        <w:t>mice in the indicated groups of treatment (</w:t>
      </w:r>
      <w:r>
        <w:rPr>
          <w:rFonts w:ascii="Arial" w:hAnsi="Arial" w:cs="Arial"/>
          <w:bCs/>
          <w:color w:val="000000" w:themeColor="text1"/>
        </w:rPr>
        <w:t>D</w:t>
      </w:r>
      <w:r w:rsidRPr="00FA43B8">
        <w:rPr>
          <w:rFonts w:ascii="Arial" w:hAnsi="Arial" w:cs="Arial"/>
          <w:bCs/>
          <w:color w:val="000000" w:themeColor="text1"/>
        </w:rPr>
        <w:t>) and quantification of the size (</w:t>
      </w:r>
      <w:r>
        <w:rPr>
          <w:rFonts w:ascii="Arial" w:hAnsi="Arial" w:cs="Arial"/>
          <w:bCs/>
          <w:color w:val="000000" w:themeColor="text1"/>
        </w:rPr>
        <w:t>E</w:t>
      </w:r>
      <w:r w:rsidRPr="00FA43B8">
        <w:rPr>
          <w:rFonts w:ascii="Arial" w:hAnsi="Arial" w:cs="Arial"/>
          <w:bCs/>
          <w:color w:val="000000" w:themeColor="text1"/>
        </w:rPr>
        <w:t>)</w:t>
      </w:r>
      <w:r w:rsidR="00173195">
        <w:rPr>
          <w:rFonts w:ascii="Arial" w:hAnsi="Arial" w:cs="Arial"/>
          <w:bCs/>
          <w:color w:val="000000" w:themeColor="text1"/>
        </w:rPr>
        <w:t xml:space="preserve">, </w:t>
      </w:r>
      <w:r w:rsidRPr="00FA43B8">
        <w:rPr>
          <w:rFonts w:ascii="Arial" w:hAnsi="Arial" w:cs="Arial"/>
          <w:bCs/>
          <w:color w:val="000000" w:themeColor="text1"/>
        </w:rPr>
        <w:t>weight (</w:t>
      </w:r>
      <w:r>
        <w:rPr>
          <w:rFonts w:ascii="Arial" w:hAnsi="Arial" w:cs="Arial"/>
          <w:bCs/>
          <w:color w:val="000000" w:themeColor="text1"/>
        </w:rPr>
        <w:t>F</w:t>
      </w:r>
      <w:r w:rsidRPr="00FA43B8">
        <w:rPr>
          <w:rFonts w:ascii="Arial" w:hAnsi="Arial" w:cs="Arial"/>
          <w:bCs/>
          <w:color w:val="000000" w:themeColor="text1"/>
        </w:rPr>
        <w:t xml:space="preserve">) </w:t>
      </w:r>
      <w:r w:rsidR="00173195">
        <w:rPr>
          <w:rFonts w:ascii="Arial" w:hAnsi="Arial" w:cs="Arial"/>
          <w:bCs/>
          <w:color w:val="000000" w:themeColor="text1"/>
        </w:rPr>
        <w:t>and percent of proliferating (ki67+) cells (G) in the different</w:t>
      </w:r>
      <w:r w:rsidRPr="00FA43B8">
        <w:rPr>
          <w:rFonts w:ascii="Arial" w:hAnsi="Arial" w:cs="Arial"/>
          <w:bCs/>
          <w:color w:val="000000" w:themeColor="text1"/>
        </w:rPr>
        <w:t xml:space="preserve"> tumors. Mean values and standard deviation are represented.</w:t>
      </w:r>
      <w:r>
        <w:rPr>
          <w:rFonts w:ascii="Arial" w:hAnsi="Arial" w:cs="Arial"/>
          <w:bCs/>
          <w:color w:val="000000" w:themeColor="text1"/>
        </w:rPr>
        <w:t xml:space="preserve"> Statistical significance was determined by </w:t>
      </w:r>
      <w:r w:rsidR="00C82FB6">
        <w:rPr>
          <w:rFonts w:ascii="Arial" w:hAnsi="Arial" w:cs="Arial"/>
          <w:bCs/>
          <w:color w:val="000000" w:themeColor="text1"/>
        </w:rPr>
        <w:t>One-Way ANOVA test and the Tukey’s Multiple Comparison Analysis. *p-value &lt; 0.05, **p-value &lt;0.01.</w:t>
      </w:r>
    </w:p>
    <w:p w14:paraId="024375CD" w14:textId="5C3D3E90" w:rsidR="002C54E0" w:rsidRDefault="00BE56D3" w:rsidP="00997C13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noProof/>
          <w:color w:val="000000" w:themeColor="text1"/>
        </w:rPr>
        <w:lastRenderedPageBreak/>
        <w:drawing>
          <wp:inline distT="0" distB="0" distL="0" distR="0" wp14:anchorId="3495F99F" wp14:editId="083F7D38">
            <wp:extent cx="5245100" cy="3930322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4"/>
                    <a:stretch/>
                  </pic:blipFill>
                  <pic:spPr bwMode="auto">
                    <a:xfrm>
                      <a:off x="0" y="0"/>
                      <a:ext cx="5245100" cy="3930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1ED3B5" w14:textId="04A34AD1" w:rsidR="00CA271A" w:rsidRDefault="00CA271A" w:rsidP="00997C13">
      <w:pPr>
        <w:spacing w:line="360" w:lineRule="auto"/>
        <w:contextualSpacing/>
        <w:jc w:val="both"/>
        <w:rPr>
          <w:rFonts w:ascii="Arial" w:hAnsi="Arial" w:cs="Arial"/>
          <w:bCs/>
          <w:color w:val="000000" w:themeColor="text1"/>
        </w:rPr>
      </w:pPr>
      <w:r w:rsidRPr="00202C2F">
        <w:rPr>
          <w:rFonts w:ascii="Arial" w:hAnsi="Arial" w:cs="Arial"/>
          <w:b/>
          <w:bCs/>
          <w:color w:val="833C0B" w:themeColor="accent2" w:themeShade="80"/>
        </w:rPr>
        <w:t>Figure S</w:t>
      </w:r>
      <w:r>
        <w:rPr>
          <w:rFonts w:ascii="Arial" w:hAnsi="Arial" w:cs="Arial"/>
          <w:b/>
          <w:bCs/>
          <w:color w:val="833C0B" w:themeColor="accent2" w:themeShade="80"/>
        </w:rPr>
        <w:t>6</w:t>
      </w:r>
      <w:r w:rsidRPr="00202C2F">
        <w:rPr>
          <w:rFonts w:ascii="Arial" w:hAnsi="Arial" w:cs="Arial"/>
          <w:b/>
          <w:bCs/>
          <w:color w:val="833C0B" w:themeColor="accent2" w:themeShade="80"/>
        </w:rPr>
        <w:t xml:space="preserve">. </w:t>
      </w:r>
      <w:r>
        <w:rPr>
          <w:rFonts w:ascii="Arial" w:hAnsi="Arial" w:cs="Arial"/>
          <w:b/>
          <w:bCs/>
          <w:color w:val="833C0B" w:themeColor="accent2" w:themeShade="80"/>
        </w:rPr>
        <w:t>LIF-high tumors are enriched in T cell related functions.</w:t>
      </w:r>
    </w:p>
    <w:p w14:paraId="2E6A2BD1" w14:textId="7ED997C4" w:rsidR="00F20BEB" w:rsidRPr="00997C13" w:rsidRDefault="00997C13" w:rsidP="00997C13">
      <w:pPr>
        <w:spacing w:line="360" w:lineRule="auto"/>
        <w:contextualSpacing/>
        <w:jc w:val="both"/>
        <w:rPr>
          <w:rFonts w:ascii="Arial" w:hAnsi="Arial" w:cs="Arial"/>
        </w:rPr>
      </w:pPr>
      <w:r w:rsidRPr="00997C13">
        <w:rPr>
          <w:rFonts w:ascii="Arial" w:hAnsi="Arial" w:cs="Arial"/>
        </w:rPr>
        <w:t xml:space="preserve">(A) </w:t>
      </w:r>
      <w:proofErr w:type="spellStart"/>
      <w:r w:rsidR="00F20BEB" w:rsidRPr="00997C13">
        <w:rPr>
          <w:rFonts w:ascii="Arial" w:hAnsi="Arial" w:cs="Arial"/>
        </w:rPr>
        <w:t>Barplot</w:t>
      </w:r>
      <w:proofErr w:type="spellEnd"/>
      <w:r w:rsidR="00F20BEB" w:rsidRPr="00997C13">
        <w:rPr>
          <w:rFonts w:ascii="Arial" w:hAnsi="Arial" w:cs="Arial"/>
        </w:rPr>
        <w:t xml:space="preserve"> depicting the top significant Gene Ontology </w:t>
      </w:r>
      <w:r w:rsidR="003A0469">
        <w:rPr>
          <w:rFonts w:ascii="Arial" w:hAnsi="Arial" w:cs="Arial"/>
        </w:rPr>
        <w:t>Biological Process</w:t>
      </w:r>
      <w:r w:rsidR="00F20BEB" w:rsidRPr="00997C13">
        <w:rPr>
          <w:rFonts w:ascii="Arial" w:hAnsi="Arial" w:cs="Arial"/>
        </w:rPr>
        <w:t xml:space="preserve"> obtained for DEG genes in LIF high and LIF low tumors from TCGA dataset.</w:t>
      </w:r>
    </w:p>
    <w:p w14:paraId="550BBF1B" w14:textId="24DF1CA4" w:rsidR="00997C13" w:rsidRPr="00997C13" w:rsidRDefault="00997C13" w:rsidP="00997C13">
      <w:pPr>
        <w:spacing w:line="360" w:lineRule="auto"/>
        <w:contextualSpacing/>
        <w:rPr>
          <w:rFonts w:ascii="Arial" w:hAnsi="Arial" w:cs="Arial"/>
          <w:bCs/>
          <w:color w:val="000000" w:themeColor="text1"/>
        </w:rPr>
      </w:pPr>
      <w:r w:rsidRPr="00997C13">
        <w:rPr>
          <w:rFonts w:ascii="Arial" w:hAnsi="Arial" w:cs="Arial"/>
          <w:bCs/>
          <w:color w:val="000000" w:themeColor="text1"/>
        </w:rPr>
        <w:t xml:space="preserve">(B) Violin plots </w:t>
      </w:r>
      <w:r>
        <w:rPr>
          <w:rFonts w:ascii="Arial" w:hAnsi="Arial" w:cs="Arial"/>
          <w:bCs/>
          <w:color w:val="000000" w:themeColor="text1"/>
        </w:rPr>
        <w:t>showing LIF mRNA levels in the CRC tumors classified as CHUK high and CHUK low in the TCGA dataset.</w:t>
      </w:r>
    </w:p>
    <w:p w14:paraId="700082C3" w14:textId="77777777" w:rsidR="00003FC4" w:rsidRDefault="00003FC4" w:rsidP="00F73BCC">
      <w:pPr>
        <w:spacing w:line="360" w:lineRule="auto"/>
        <w:contextualSpacing/>
      </w:pPr>
    </w:p>
    <w:sectPr w:rsidR="00003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57020"/>
    <w:multiLevelType w:val="hybridMultilevel"/>
    <w:tmpl w:val="A6A21B60"/>
    <w:lvl w:ilvl="0" w:tplc="EA4E3B9E">
      <w:start w:val="1"/>
      <w:numFmt w:val="upp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D7727"/>
    <w:multiLevelType w:val="hybridMultilevel"/>
    <w:tmpl w:val="E0BC0798"/>
    <w:lvl w:ilvl="0" w:tplc="31B6671A">
      <w:start w:val="1"/>
      <w:numFmt w:val="upperLetter"/>
      <w:lvlText w:val="(%1)"/>
      <w:lvlJc w:val="left"/>
      <w:pPr>
        <w:ind w:left="820" w:hanging="4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175890">
    <w:abstractNumId w:val="0"/>
  </w:num>
  <w:num w:numId="2" w16cid:durableId="401408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BEB"/>
    <w:rsid w:val="00003FC4"/>
    <w:rsid w:val="00011421"/>
    <w:rsid w:val="00173195"/>
    <w:rsid w:val="002C54E0"/>
    <w:rsid w:val="003A0469"/>
    <w:rsid w:val="00487F1E"/>
    <w:rsid w:val="005259F6"/>
    <w:rsid w:val="007B0D87"/>
    <w:rsid w:val="008649A9"/>
    <w:rsid w:val="00997C13"/>
    <w:rsid w:val="00BE56D3"/>
    <w:rsid w:val="00C11E7B"/>
    <w:rsid w:val="00C13580"/>
    <w:rsid w:val="00C82FB6"/>
    <w:rsid w:val="00CA271A"/>
    <w:rsid w:val="00CB16A7"/>
    <w:rsid w:val="00CC217E"/>
    <w:rsid w:val="00EB57D7"/>
    <w:rsid w:val="00F20BEB"/>
    <w:rsid w:val="00F536AD"/>
    <w:rsid w:val="00F73BCC"/>
    <w:rsid w:val="00FA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B8ED"/>
  <w15:chartTrackingRefBased/>
  <w15:docId w15:val="{D826F516-0D75-514C-A695-E819C48CB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BEB"/>
    <w:rPr>
      <w:rFonts w:ascii="Times New Roman" w:eastAsia="Times New Roman" w:hAnsi="Times New Roman" w:cs="Times New Roman"/>
      <w:lang w:val="en-U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oromisin">
    <w:name w:val="Por omisión"/>
    <w:rsid w:val="00F20B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eastAsia="es-ES"/>
    </w:rPr>
  </w:style>
  <w:style w:type="paragraph" w:styleId="Prrafodelista">
    <w:name w:val="List Paragraph"/>
    <w:basedOn w:val="Normal"/>
    <w:uiPriority w:val="34"/>
    <w:qFormat/>
    <w:rsid w:val="00F20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484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2022-05-18T09:33:00Z</dcterms:created>
  <dcterms:modified xsi:type="dcterms:W3CDTF">2022-07-25T05:34:00Z</dcterms:modified>
</cp:coreProperties>
</file>