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7DE1" w:rsidRDefault="00D56056" w:rsidP="00DA7DE1">
      <w:pPr>
        <w:rPr>
          <w:b/>
          <w:sz w:val="32"/>
          <w:szCs w:val="32"/>
          <w:lang w:val="en-US"/>
        </w:rPr>
      </w:pPr>
      <w:r w:rsidRPr="00DA7DE1">
        <w:rPr>
          <w:b/>
          <w:sz w:val="32"/>
          <w:szCs w:val="32"/>
          <w:lang w:val="en-US"/>
        </w:rPr>
        <w:t>7. Su</w:t>
      </w:r>
      <w:r w:rsidR="00060179" w:rsidRPr="00DA7DE1">
        <w:rPr>
          <w:b/>
          <w:sz w:val="32"/>
          <w:szCs w:val="32"/>
          <w:lang w:val="en-US"/>
        </w:rPr>
        <w:t>pporting</w:t>
      </w:r>
      <w:r w:rsidRPr="00DA7DE1">
        <w:rPr>
          <w:b/>
          <w:sz w:val="32"/>
          <w:szCs w:val="32"/>
          <w:lang w:val="en-US"/>
        </w:rPr>
        <w:t xml:space="preserve"> </w:t>
      </w:r>
      <w:r w:rsidR="00DA7DE1" w:rsidRPr="00DA7DE1">
        <w:rPr>
          <w:b/>
          <w:sz w:val="32"/>
          <w:szCs w:val="32"/>
          <w:lang w:val="en-US"/>
        </w:rPr>
        <w:t>information</w:t>
      </w:r>
      <w:bookmarkStart w:id="0" w:name="_Hlk108698436"/>
    </w:p>
    <w:p w:rsidR="00DA7DE1" w:rsidRPr="00DA7DE1" w:rsidRDefault="00DA7DE1" w:rsidP="00DA7DE1">
      <w:pPr>
        <w:rPr>
          <w:b/>
          <w:sz w:val="32"/>
          <w:szCs w:val="32"/>
          <w:lang w:val="en-US"/>
        </w:rPr>
      </w:pPr>
      <w:r w:rsidRPr="00DA7DE1">
        <w:rPr>
          <w:rFonts w:cs="Times New Roman"/>
          <w:b/>
          <w:sz w:val="32"/>
          <w:szCs w:val="32"/>
          <w:lang w:val="en-GB"/>
        </w:rPr>
        <w:t>Impacts of forest management on stand and landscape-level microclimate heterogeneity of European beech forests</w:t>
      </w:r>
      <w:bookmarkEnd w:id="0"/>
    </w:p>
    <w:p w:rsidR="00DA7DE1" w:rsidRPr="00234982" w:rsidRDefault="00DA7DE1" w:rsidP="00DA7DE1">
      <w:pPr>
        <w:rPr>
          <w:lang w:val="en-GB"/>
        </w:rPr>
      </w:pPr>
    </w:p>
    <w:p w:rsidR="00DA7DE1" w:rsidRPr="00234982" w:rsidRDefault="00DA7DE1" w:rsidP="00DA7DE1">
      <w:pPr>
        <w:spacing w:before="240" w:line="480" w:lineRule="auto"/>
        <w:rPr>
          <w:vertAlign w:val="superscript"/>
        </w:rPr>
      </w:pPr>
      <w:r w:rsidRPr="00234982">
        <w:t>Joscha H. Menge</w:t>
      </w:r>
      <w:r w:rsidRPr="00234982">
        <w:rPr>
          <w:vertAlign w:val="superscript"/>
        </w:rPr>
        <w:t>1,2*</w:t>
      </w:r>
      <w:r w:rsidRPr="00234982">
        <w:t>, Paul Magdon</w:t>
      </w:r>
      <w:r w:rsidRPr="00234982">
        <w:rPr>
          <w:vertAlign w:val="superscript"/>
        </w:rPr>
        <w:t>3</w:t>
      </w:r>
      <w:r w:rsidRPr="00234982">
        <w:t>, Stephan Wöllauer</w:t>
      </w:r>
      <w:r w:rsidRPr="00234982">
        <w:rPr>
          <w:vertAlign w:val="superscript"/>
        </w:rPr>
        <w:t>4</w:t>
      </w:r>
      <w:r w:rsidRPr="00234982">
        <w:t>, Martin Ehbrecht</w:t>
      </w:r>
      <w:r w:rsidRPr="00234982">
        <w:rPr>
          <w:vertAlign w:val="superscript"/>
        </w:rPr>
        <w:t>1</w:t>
      </w:r>
    </w:p>
    <w:p w:rsidR="00DA7DE1" w:rsidRPr="00234982" w:rsidRDefault="00DA7DE1" w:rsidP="00DA7DE1">
      <w:pPr>
        <w:spacing w:after="0" w:line="480" w:lineRule="auto"/>
        <w:rPr>
          <w:lang w:val="en-GB"/>
        </w:rPr>
      </w:pPr>
      <w:r w:rsidRPr="00234982">
        <w:rPr>
          <w:vertAlign w:val="superscript"/>
          <w:lang w:val="en-GB"/>
        </w:rPr>
        <w:t>*</w:t>
      </w:r>
      <w:r w:rsidRPr="00234982">
        <w:rPr>
          <w:lang w:val="en-GB"/>
        </w:rPr>
        <w:t>Corresponding author: JoschaMenge@gmail.com</w:t>
      </w:r>
    </w:p>
    <w:p w:rsidR="00DA7DE1" w:rsidRPr="00234982" w:rsidRDefault="00DA7DE1" w:rsidP="00DA7DE1">
      <w:pPr>
        <w:spacing w:after="0" w:line="480" w:lineRule="auto"/>
        <w:rPr>
          <w:lang w:val="en-GB"/>
        </w:rPr>
      </w:pPr>
      <w:r w:rsidRPr="00234982">
        <w:rPr>
          <w:vertAlign w:val="superscript"/>
          <w:lang w:val="en-GB"/>
        </w:rPr>
        <w:t>1</w:t>
      </w:r>
      <w:r w:rsidRPr="00234982">
        <w:rPr>
          <w:lang w:val="en-GB"/>
        </w:rPr>
        <w:t xml:space="preserve">Department of Silviculture and Forest Ecology of the Temperate Zones, Faculty of Forest Science, University of Göttingen, </w:t>
      </w:r>
      <w:proofErr w:type="spellStart"/>
      <w:r w:rsidRPr="00234982">
        <w:rPr>
          <w:lang w:val="en-GB"/>
        </w:rPr>
        <w:t>Büsgenweg</w:t>
      </w:r>
      <w:proofErr w:type="spellEnd"/>
      <w:r w:rsidRPr="00234982">
        <w:rPr>
          <w:lang w:val="en-GB"/>
        </w:rPr>
        <w:t xml:space="preserve"> 1, 37077 Göttingen, Germany</w:t>
      </w:r>
    </w:p>
    <w:p w:rsidR="00DA7DE1" w:rsidRPr="00234982" w:rsidRDefault="00DA7DE1" w:rsidP="00DA7DE1">
      <w:pPr>
        <w:spacing w:after="0" w:line="480" w:lineRule="auto"/>
        <w:rPr>
          <w:lang w:val="en-GB"/>
        </w:rPr>
      </w:pPr>
      <w:r w:rsidRPr="00234982">
        <w:rPr>
          <w:vertAlign w:val="superscript"/>
          <w:lang w:val="en-GB"/>
        </w:rPr>
        <w:t>2</w:t>
      </w:r>
      <w:r w:rsidRPr="00234982">
        <w:rPr>
          <w:lang w:val="en-GB"/>
        </w:rPr>
        <w:t xml:space="preserve">Forestry Research and Competence Centre, </w:t>
      </w:r>
      <w:proofErr w:type="spellStart"/>
      <w:r w:rsidRPr="00234982">
        <w:rPr>
          <w:lang w:val="en-GB"/>
        </w:rPr>
        <w:t>ThüringenForst</w:t>
      </w:r>
      <w:proofErr w:type="spellEnd"/>
      <w:r w:rsidRPr="00234982">
        <w:rPr>
          <w:lang w:val="en-GB"/>
        </w:rPr>
        <w:t xml:space="preserve">, </w:t>
      </w:r>
      <w:proofErr w:type="spellStart"/>
      <w:r w:rsidRPr="00234982">
        <w:rPr>
          <w:lang w:val="en-GB"/>
        </w:rPr>
        <w:t>Jägerstrasse</w:t>
      </w:r>
      <w:proofErr w:type="spellEnd"/>
      <w:r w:rsidRPr="00234982">
        <w:rPr>
          <w:lang w:val="en-GB"/>
        </w:rPr>
        <w:t xml:space="preserve"> 1, 99867 Gotha, Germany </w:t>
      </w:r>
    </w:p>
    <w:p w:rsidR="00DA7DE1" w:rsidRPr="00234982" w:rsidRDefault="00DA7DE1" w:rsidP="00DA7DE1">
      <w:pPr>
        <w:spacing w:after="0" w:line="480" w:lineRule="auto"/>
        <w:rPr>
          <w:lang w:val="en-GB"/>
        </w:rPr>
      </w:pPr>
      <w:r w:rsidRPr="00234982">
        <w:rPr>
          <w:vertAlign w:val="superscript"/>
          <w:lang w:val="en-GB"/>
        </w:rPr>
        <w:t>3</w:t>
      </w:r>
      <w:r w:rsidRPr="00234982">
        <w:rPr>
          <w:lang w:val="en-GB"/>
        </w:rPr>
        <w:t xml:space="preserve">Faculty of </w:t>
      </w:r>
      <w:r w:rsidRPr="00234982">
        <w:rPr>
          <w:lang w:val="en-US"/>
        </w:rPr>
        <w:t>Resource</w:t>
      </w:r>
      <w:r w:rsidRPr="00234982">
        <w:rPr>
          <w:lang w:val="en-GB"/>
        </w:rPr>
        <w:t xml:space="preserve"> Management, HAWK University of Applied Sciences and Arts, </w:t>
      </w:r>
      <w:proofErr w:type="spellStart"/>
      <w:r w:rsidRPr="00234982">
        <w:rPr>
          <w:lang w:val="en-GB"/>
        </w:rPr>
        <w:t>Büsgenweg</w:t>
      </w:r>
      <w:proofErr w:type="spellEnd"/>
      <w:r w:rsidRPr="00234982">
        <w:rPr>
          <w:lang w:val="en-GB"/>
        </w:rPr>
        <w:t xml:space="preserve"> 1a, 37077 Göttingen, Germany</w:t>
      </w:r>
    </w:p>
    <w:p w:rsidR="00DA7DE1" w:rsidRPr="002D2382" w:rsidRDefault="00DA7DE1" w:rsidP="00DA7DE1">
      <w:pPr>
        <w:spacing w:after="0" w:line="480" w:lineRule="auto"/>
        <w:rPr>
          <w:lang w:val="en-GB"/>
        </w:rPr>
      </w:pPr>
      <w:r w:rsidRPr="00234982">
        <w:rPr>
          <w:vertAlign w:val="superscript"/>
          <w:lang w:val="en-GB"/>
        </w:rPr>
        <w:t>4</w:t>
      </w:r>
      <w:r w:rsidRPr="00234982">
        <w:rPr>
          <w:lang w:val="en-GB"/>
        </w:rPr>
        <w:t xml:space="preserve">Philipps-University Marburg, Environmental Informatics, Faculty of Geography, </w:t>
      </w:r>
      <w:proofErr w:type="spellStart"/>
      <w:r w:rsidRPr="00234982">
        <w:rPr>
          <w:lang w:val="en-GB"/>
        </w:rPr>
        <w:t>Deutschhausstrasse</w:t>
      </w:r>
      <w:proofErr w:type="spellEnd"/>
      <w:r w:rsidRPr="00234982">
        <w:rPr>
          <w:lang w:val="en-GB"/>
        </w:rPr>
        <w:t xml:space="preserve"> 12, 35032, Marburg, Germany</w:t>
      </w:r>
      <w:r>
        <w:rPr>
          <w:lang w:val="en-GB"/>
        </w:rPr>
        <w:t xml:space="preserve">, </w:t>
      </w:r>
      <w:r w:rsidRPr="00FF42C4">
        <w:rPr>
          <w:lang w:val="en-GB"/>
        </w:rPr>
        <w:t>https://orcid.org/0000-0002-3623-8294</w:t>
      </w:r>
    </w:p>
    <w:p w:rsidR="00DA7DE1" w:rsidRDefault="00DA7DE1">
      <w:pPr>
        <w:spacing w:line="259" w:lineRule="auto"/>
        <w:jc w:val="left"/>
        <w:rPr>
          <w:rFonts w:cs="Times New Roman"/>
          <w:lang w:val="en-GB"/>
        </w:rPr>
        <w:sectPr w:rsidR="00DA7DE1" w:rsidSect="00DA7DE1">
          <w:pgSz w:w="11900" w:h="16840"/>
          <w:pgMar w:top="1417" w:right="1417" w:bottom="1134" w:left="1417" w:header="708" w:footer="708" w:gutter="0"/>
          <w:lnNumType w:countBy="1"/>
          <w:cols w:space="708"/>
          <w:docGrid w:linePitch="360"/>
        </w:sectPr>
      </w:pPr>
    </w:p>
    <w:p w:rsidR="00D56056" w:rsidRPr="00DA7DE1" w:rsidRDefault="00D56056" w:rsidP="00DA7DE1">
      <w:pPr>
        <w:spacing w:line="259" w:lineRule="auto"/>
        <w:jc w:val="left"/>
        <w:rPr>
          <w:rFonts w:eastAsiaTheme="majorEastAsia" w:cs="Times New Roman"/>
          <w:b/>
          <w:bCs/>
          <w:sz w:val="26"/>
          <w:szCs w:val="26"/>
          <w:lang w:val="en-GB"/>
        </w:rPr>
      </w:pPr>
      <w:r w:rsidRPr="00ED18CF">
        <w:rPr>
          <w:rFonts w:cs="Times New Roman"/>
          <w:lang w:val="en-GB"/>
        </w:rPr>
        <w:lastRenderedPageBreak/>
        <w:t xml:space="preserve">7.1 Correlations of ALS and temperature variables </w:t>
      </w:r>
    </w:p>
    <w:p w:rsidR="00D56056" w:rsidRDefault="00D56056" w:rsidP="00D56056">
      <w:pPr>
        <w:pStyle w:val="KeinLeerraum"/>
        <w:jc w:val="center"/>
        <w:rPr>
          <w:b/>
          <w:lang w:val="en-GB"/>
        </w:rPr>
      </w:pPr>
      <w:r>
        <w:rPr>
          <w:noProof/>
          <w:lang w:eastAsia="de-DE"/>
        </w:rPr>
        <w:drawing>
          <wp:inline distT="0" distB="0" distL="0" distR="0" wp14:anchorId="185F9964" wp14:editId="268C4029">
            <wp:extent cx="8799916" cy="4676775"/>
            <wp:effectExtent l="0" t="0" r="1270" b="0"/>
            <wp:docPr id="5" name="Grafik 5" descr="HeightC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eightCo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869863" cy="4713949"/>
                    </a:xfrm>
                    <a:prstGeom prst="rect">
                      <a:avLst/>
                    </a:prstGeom>
                    <a:noFill/>
                    <a:ln>
                      <a:noFill/>
                    </a:ln>
                  </pic:spPr>
                </pic:pic>
              </a:graphicData>
            </a:graphic>
          </wp:inline>
        </w:drawing>
      </w:r>
    </w:p>
    <w:p w:rsidR="00D56056" w:rsidRPr="0057283D" w:rsidRDefault="00D56056" w:rsidP="00D56056">
      <w:pPr>
        <w:pStyle w:val="KeinLeerraum"/>
        <w:rPr>
          <w:lang w:val="en-GB"/>
        </w:rPr>
      </w:pPr>
      <w:r w:rsidRPr="001E4F85">
        <w:rPr>
          <w:b/>
          <w:lang w:val="en-GB"/>
        </w:rPr>
        <w:t>Fig.</w:t>
      </w:r>
      <w:r>
        <w:rPr>
          <w:b/>
          <w:lang w:val="en-GB"/>
        </w:rPr>
        <w:t xml:space="preserve"> 7</w:t>
      </w:r>
      <w:r w:rsidRPr="001E4F85">
        <w:rPr>
          <w:b/>
          <w:lang w:val="en-GB"/>
        </w:rPr>
        <w:t xml:space="preserve"> </w:t>
      </w:r>
      <w:r>
        <w:rPr>
          <w:lang w:val="en-GB"/>
        </w:rPr>
        <w:t>Correlations between DTR, maximum, minimum and mean temperature and different ALS-based stand-height variables.</w:t>
      </w:r>
      <w:r w:rsidRPr="001A089E">
        <w:rPr>
          <w:lang w:val="en-GB"/>
        </w:rPr>
        <w:t xml:space="preserve"> </w:t>
      </w:r>
    </w:p>
    <w:p w:rsidR="00D56056" w:rsidRDefault="00D56056" w:rsidP="00D56056">
      <w:pPr>
        <w:pStyle w:val="KeinLeerraum"/>
        <w:jc w:val="center"/>
        <w:rPr>
          <w:rFonts w:cs="Times New Roman"/>
          <w:b/>
          <w:lang w:val="en-GB"/>
        </w:rPr>
      </w:pPr>
      <w:r>
        <w:rPr>
          <w:noProof/>
          <w:lang w:eastAsia="de-DE"/>
        </w:rPr>
        <w:lastRenderedPageBreak/>
        <w:drawing>
          <wp:inline distT="0" distB="0" distL="0" distR="0" wp14:anchorId="6D862C86" wp14:editId="4F670365">
            <wp:extent cx="9129369" cy="4856904"/>
            <wp:effectExtent l="0" t="0" r="0" b="1270"/>
            <wp:docPr id="6" name="Grafik 6" descr="CanopyC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anopyCo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167234" cy="4877049"/>
                    </a:xfrm>
                    <a:prstGeom prst="rect">
                      <a:avLst/>
                    </a:prstGeom>
                    <a:noFill/>
                    <a:ln>
                      <a:noFill/>
                    </a:ln>
                  </pic:spPr>
                </pic:pic>
              </a:graphicData>
            </a:graphic>
          </wp:inline>
        </w:drawing>
      </w:r>
    </w:p>
    <w:p w:rsidR="00D56056" w:rsidRDefault="00D56056" w:rsidP="00D56056">
      <w:pPr>
        <w:pStyle w:val="KeinLeerraum"/>
        <w:rPr>
          <w:lang w:val="en-GB"/>
        </w:rPr>
      </w:pPr>
      <w:r w:rsidRPr="001E4F85">
        <w:rPr>
          <w:b/>
          <w:lang w:val="en-GB"/>
        </w:rPr>
        <w:t>Fig.</w:t>
      </w:r>
      <w:r>
        <w:rPr>
          <w:b/>
          <w:lang w:val="en-GB"/>
        </w:rPr>
        <w:t xml:space="preserve"> 8 </w:t>
      </w:r>
      <w:r>
        <w:rPr>
          <w:lang w:val="en-GB"/>
        </w:rPr>
        <w:t>Correlations between DTR, maximum, minimum and mean temperature and different ALS-based canopy structural variables.</w:t>
      </w:r>
    </w:p>
    <w:p w:rsidR="00D56056" w:rsidRDefault="00D56056" w:rsidP="00D56056">
      <w:pPr>
        <w:pStyle w:val="KeinLeerraum"/>
        <w:rPr>
          <w:rFonts w:cs="Times New Roman"/>
          <w:b/>
          <w:lang w:val="en-GB"/>
        </w:rPr>
      </w:pPr>
    </w:p>
    <w:p w:rsidR="00D56056" w:rsidRDefault="00D56056" w:rsidP="00D56056">
      <w:pPr>
        <w:pStyle w:val="KeinLeerraum"/>
        <w:jc w:val="center"/>
        <w:rPr>
          <w:b/>
          <w:lang w:val="en-GB"/>
        </w:rPr>
      </w:pPr>
      <w:r>
        <w:rPr>
          <w:noProof/>
          <w:lang w:eastAsia="de-DE"/>
        </w:rPr>
        <w:lastRenderedPageBreak/>
        <w:drawing>
          <wp:inline distT="0" distB="0" distL="0" distR="0" wp14:anchorId="3DFA1721" wp14:editId="3E5613DF">
            <wp:extent cx="9228273" cy="4901184"/>
            <wp:effectExtent l="0" t="0" r="0" b="0"/>
            <wp:docPr id="4" name="Grafik 4" descr="TopoC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TopoCo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28273" cy="4901184"/>
                    </a:xfrm>
                    <a:prstGeom prst="rect">
                      <a:avLst/>
                    </a:prstGeom>
                    <a:noFill/>
                    <a:ln>
                      <a:noFill/>
                    </a:ln>
                  </pic:spPr>
                </pic:pic>
              </a:graphicData>
            </a:graphic>
          </wp:inline>
        </w:drawing>
      </w:r>
    </w:p>
    <w:p w:rsidR="00D56056" w:rsidRDefault="00D56056" w:rsidP="00D56056">
      <w:pPr>
        <w:pStyle w:val="KeinLeerraum"/>
        <w:rPr>
          <w:noProof/>
          <w:lang w:val="en-GB"/>
        </w:rPr>
      </w:pPr>
      <w:r w:rsidRPr="001E4F85">
        <w:rPr>
          <w:b/>
          <w:lang w:val="en-GB"/>
        </w:rPr>
        <w:t>Fig.</w:t>
      </w:r>
      <w:r>
        <w:rPr>
          <w:b/>
          <w:lang w:val="en-GB"/>
        </w:rPr>
        <w:t xml:space="preserve"> 9</w:t>
      </w:r>
      <w:r w:rsidRPr="001E4F85">
        <w:rPr>
          <w:b/>
          <w:lang w:val="en-GB"/>
        </w:rPr>
        <w:t xml:space="preserve"> </w:t>
      </w:r>
      <w:r>
        <w:rPr>
          <w:lang w:val="en-GB"/>
        </w:rPr>
        <w:t>Correlations between DTR, maximum, minimum and mean temperature and different ALS-based topographical variables.</w:t>
      </w:r>
    </w:p>
    <w:p w:rsidR="00D56056" w:rsidRDefault="00D56056" w:rsidP="00D56056">
      <w:pPr>
        <w:pStyle w:val="KeinLeerraum"/>
        <w:jc w:val="center"/>
        <w:rPr>
          <w:rFonts w:cs="Times New Roman"/>
          <w:b/>
          <w:lang w:val="en-GB"/>
        </w:rPr>
      </w:pPr>
      <w:r>
        <w:rPr>
          <w:noProof/>
          <w:lang w:eastAsia="de-DE"/>
        </w:rPr>
        <w:lastRenderedPageBreak/>
        <w:drawing>
          <wp:inline distT="0" distB="0" distL="0" distR="0" wp14:anchorId="07452569" wp14:editId="02B8E6FE">
            <wp:extent cx="7593581" cy="5057775"/>
            <wp:effectExtent l="0" t="0" r="7620" b="0"/>
            <wp:docPr id="10" name="Grafik 10" descr="ALSco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ALScor3"/>
                    <pic:cNvPicPr>
                      <a:picLocks noChangeAspect="1" noChangeArrowheads="1"/>
                    </pic:cNvPicPr>
                  </pic:nvPicPr>
                  <pic:blipFill rotWithShape="1">
                    <a:blip r:embed="rId7">
                      <a:extLst>
                        <a:ext uri="{28A0092B-C50C-407E-A947-70E740481C1C}">
                          <a14:useLocalDpi xmlns:a14="http://schemas.microsoft.com/office/drawing/2010/main" val="0"/>
                        </a:ext>
                      </a:extLst>
                    </a:blip>
                    <a:srcRect l="7908" r="7584"/>
                    <a:stretch/>
                  </pic:blipFill>
                  <pic:spPr bwMode="auto">
                    <a:xfrm>
                      <a:off x="0" y="0"/>
                      <a:ext cx="7661363" cy="5102922"/>
                    </a:xfrm>
                    <a:prstGeom prst="rect">
                      <a:avLst/>
                    </a:prstGeom>
                    <a:noFill/>
                    <a:ln>
                      <a:noFill/>
                    </a:ln>
                    <a:extLst>
                      <a:ext uri="{53640926-AAD7-44D8-BBD7-CCE9431645EC}">
                        <a14:shadowObscured xmlns:a14="http://schemas.microsoft.com/office/drawing/2010/main"/>
                      </a:ext>
                    </a:extLst>
                  </pic:spPr>
                </pic:pic>
              </a:graphicData>
            </a:graphic>
          </wp:inline>
        </w:drawing>
      </w:r>
    </w:p>
    <w:p w:rsidR="00D56056" w:rsidRDefault="00D56056" w:rsidP="00D56056">
      <w:pPr>
        <w:pStyle w:val="KeinLeerraum"/>
        <w:rPr>
          <w:rFonts w:cs="Times New Roman"/>
          <w:lang w:val="en-GB" w:eastAsia="de-DE"/>
        </w:rPr>
      </w:pPr>
      <w:r w:rsidRPr="001E4F85">
        <w:rPr>
          <w:b/>
          <w:lang w:val="en-GB"/>
        </w:rPr>
        <w:t>Fig.</w:t>
      </w:r>
      <w:r>
        <w:rPr>
          <w:b/>
          <w:lang w:val="en-GB"/>
        </w:rPr>
        <w:t xml:space="preserve"> 10 </w:t>
      </w:r>
      <w:r>
        <w:rPr>
          <w:lang w:val="en-GB"/>
        </w:rPr>
        <w:t xml:space="preserve">Correlations among selected ALS-based stand structural and topographical variables.  Highlighted variable combinations depict strong co-linearity </w:t>
      </w:r>
      <w:r w:rsidRPr="00A0525B">
        <w:rPr>
          <w:rFonts w:cs="Times New Roman"/>
          <w:lang w:val="en-GB" w:eastAsia="de-DE"/>
        </w:rPr>
        <w:t>of |r| &gt; 0.7,</w:t>
      </w:r>
      <w:r>
        <w:rPr>
          <w:rFonts w:cs="Times New Roman"/>
          <w:lang w:val="en-GB" w:eastAsia="de-DE"/>
        </w:rPr>
        <w:t xml:space="preserve"> surpassing the critical benchmark</w:t>
      </w:r>
      <w:r w:rsidRPr="00A0525B">
        <w:rPr>
          <w:rFonts w:cs="Times New Roman"/>
          <w:lang w:val="en-GB" w:eastAsia="de-DE"/>
        </w:rPr>
        <w:t xml:space="preserve"> identified by </w:t>
      </w:r>
      <w:r w:rsidRPr="00A0525B">
        <w:rPr>
          <w:rFonts w:cs="Times New Roman"/>
          <w:lang w:val="en-GB" w:eastAsia="de-DE"/>
        </w:rPr>
        <w:fldChar w:fldCharType="begin"/>
      </w:r>
      <w:r>
        <w:rPr>
          <w:rFonts w:cs="Times New Roman"/>
          <w:lang w:val="en-GB" w:eastAsia="de-DE"/>
        </w:rPr>
        <w:instrText xml:space="preserve"> ADDIN ZOTERO_ITEM CSL_CITATION {"citationID":"oEZTZjsu","properties":{"custom":"Dormann et al. (2013)","formattedCitation":"Dormann et al. (2013)","plainCitation":"Dormann et al. (2013)","noteIndex":0},"citationItems":[{"id":490,"uris":["http://zotero.org/users/6209507/items/63B9A4KZ"],"itemData":{"id":490,"type":"article-journal","abstract":"Collinearity refers to the non independence of predictor variables, usually in a regression-type analysis. It is a common feature of any descriptive ecological data set and can be a problem for parameter estimation because it inflates the variance of regression parameters and hence potentially leads to the wrong identification of relevant predictors in a statistical model. Collinearity is a severe problem when a model is trained on data from one region or time, and predicted to another with a different or unknown structure of collinearity. To demonstrate the reach of the problem of collinearity in ecology, we show how relationships among predictors differ between biomes, change over spatial scales and through time. Across disciplines, different approaches to addressing collinearity problems have been developed, ranging from clustering of predictors, threshold-based pre-selection, through latent variable methods, to shrinkage and regularisation. Using simulated data with five predictor-response relationships of increasing complexity and eight levels of collinearity we compared ways to address collinearity with standard multiple regression and machine-learning approaches. We assessed the performance of each approach by testing its impact on prediction to new data. In the extreme, we tested whether the methods were able to identify the true underlying relationship in a training dataset with strong collinearity by evaluating its performance on a test dataset without any collinearity. We found that methods specifically designed for collinearity, such as latent variable methods and tree based models, did not outperform the traditional GLM and threshold-based pre-selection. Our results highlight the value of GLM in combination with penalised methods (particularly ridge) and threshold-based pre-selection when omitted variables are considered in the final interpretation. However, all approaches tested yielded degraded predictions under change in collinearity structure and the ‘folk lore’-thresholds of correlation coefficients between predictor variables of |r| &gt;0.7 was an appropriate indicator for when collinearity begins to severely distort model estimation and subsequent prediction. The use of ecological understanding of the system in pre-analysis variable selection and the choice of the least sensitive statistical approaches reduce the problems of collinearity, but cannot ultimately solve them.","container-title":"Ecography","DOI":"https://doi.org/10.1111/j.1600-0587.2012.07348.x","ISSN":"1600-0587","issue":"1","language":"en","note":"_eprint: https://onlinelibrary.wiley.com/doi/pdf/10.1111/j.1600-0587.2012.07348.x","page":"27-46","source":"Wiley Online Library","title":"Collinearity: a review of methods to deal with it and a simulation study evaluating their performance","title-short":"Collinearity","volume":"36","author":[{"family":"Dormann","given":"Carsten F."},{"family":"Elith","given":"Jane"},{"family":"Bacher","given":"Sven"},{"family":"Buchmann","given":"Carsten"},{"family":"Carl","given":"Gudrun"},{"family":"Carré","given":"Gabriel"},{"family":"Marquéz","given":"Jaime R. García"},{"family":"Gruber","given":"Bernd"},{"family":"Lafourcade","given":"Bruno"},{"family":"Leitão","given":"Pedro J."},{"family":"Münkemüller","given":"Tamara"},{"family":"McClean","given":"Colin"},{"family":"Osborne","given":"Patrick E."},{"family":"Reineking","given":"Björn"},{"family":"Schröder","given":"Boris"},{"family":"Skidmore","given":"Andrew K."},{"family":"Zurell","given":"Damaris"},{"family":"Lautenbach","given":"Sven"}],"issued":{"date-parts":[["2013"]]}}}],"schema":"https://github.com/citation-style-language/schema/raw/master/csl-citation.json"} </w:instrText>
      </w:r>
      <w:r w:rsidRPr="00A0525B">
        <w:rPr>
          <w:rFonts w:cs="Times New Roman"/>
          <w:lang w:val="en-GB" w:eastAsia="de-DE"/>
        </w:rPr>
        <w:fldChar w:fldCharType="separate"/>
      </w:r>
      <w:r w:rsidRPr="00A0525B">
        <w:rPr>
          <w:rFonts w:cs="Times New Roman"/>
          <w:szCs w:val="24"/>
          <w:lang w:val="en-US"/>
        </w:rPr>
        <w:t>Dormann et al. (2013)</w:t>
      </w:r>
      <w:r w:rsidRPr="00A0525B">
        <w:rPr>
          <w:rFonts w:cs="Times New Roman"/>
          <w:lang w:val="en-GB" w:eastAsia="de-DE"/>
        </w:rPr>
        <w:fldChar w:fldCharType="end"/>
      </w:r>
      <w:r w:rsidRPr="00A0525B">
        <w:rPr>
          <w:rFonts w:cs="Times New Roman"/>
          <w:lang w:val="en-GB" w:eastAsia="de-DE"/>
        </w:rPr>
        <w:t>, when collinearity begins to severely distort model estimation and subsequent predictions. Therefore, we excluded these varia</w:t>
      </w:r>
      <w:bookmarkStart w:id="1" w:name="_GoBack"/>
      <w:bookmarkEnd w:id="1"/>
      <w:r w:rsidRPr="00A0525B">
        <w:rPr>
          <w:rFonts w:cs="Times New Roman"/>
          <w:lang w:val="en-GB" w:eastAsia="de-DE"/>
        </w:rPr>
        <w:t>ble combinations from the</w:t>
      </w:r>
      <w:r>
        <w:rPr>
          <w:rFonts w:cs="Times New Roman"/>
          <w:lang w:val="en-GB" w:eastAsia="de-DE"/>
        </w:rPr>
        <w:t xml:space="preserve"> MLR</w:t>
      </w:r>
      <w:r w:rsidRPr="00A0525B">
        <w:rPr>
          <w:rFonts w:cs="Times New Roman"/>
          <w:lang w:val="en-GB" w:eastAsia="de-DE"/>
        </w:rPr>
        <w:t xml:space="preserve"> model selection.</w:t>
      </w:r>
    </w:p>
    <w:p w:rsidR="00D56056" w:rsidRDefault="00D56056" w:rsidP="00D56056">
      <w:pPr>
        <w:pStyle w:val="KeinLeerraum"/>
        <w:rPr>
          <w:rFonts w:cs="Times New Roman"/>
          <w:lang w:val="en-GB" w:eastAsia="de-DE"/>
        </w:rPr>
        <w:sectPr w:rsidR="00D56056" w:rsidSect="00DA7DE1">
          <w:pgSz w:w="16840" w:h="11900" w:orient="landscape"/>
          <w:pgMar w:top="1417" w:right="1417" w:bottom="1417" w:left="1134" w:header="708" w:footer="708" w:gutter="0"/>
          <w:lnNumType w:countBy="1"/>
          <w:cols w:space="708"/>
          <w:docGrid w:linePitch="360"/>
        </w:sectPr>
      </w:pPr>
    </w:p>
    <w:p w:rsidR="00D56056" w:rsidRPr="00ED18CF" w:rsidRDefault="00D56056" w:rsidP="00D56056">
      <w:pPr>
        <w:pStyle w:val="berschrift2"/>
        <w:rPr>
          <w:rFonts w:ascii="Times New Roman" w:hAnsi="Times New Roman" w:cs="Times New Roman"/>
          <w:color w:val="auto"/>
          <w:lang w:val="en-GB"/>
        </w:rPr>
      </w:pPr>
      <w:bookmarkStart w:id="2" w:name="_Hlk99963700"/>
      <w:r w:rsidRPr="00ED18CF">
        <w:rPr>
          <w:rFonts w:ascii="Times New Roman" w:hAnsi="Times New Roman" w:cs="Times New Roman"/>
          <w:color w:val="auto"/>
          <w:lang w:val="en-GB"/>
        </w:rPr>
        <w:lastRenderedPageBreak/>
        <w:t xml:space="preserve">7.2 Description of </w:t>
      </w:r>
      <w:r>
        <w:rPr>
          <w:rFonts w:ascii="Times New Roman" w:hAnsi="Times New Roman" w:cs="Times New Roman"/>
          <w:color w:val="auto"/>
          <w:lang w:val="en-GB"/>
        </w:rPr>
        <w:t xml:space="preserve">selected </w:t>
      </w:r>
      <w:r w:rsidRPr="00ED18CF">
        <w:rPr>
          <w:rFonts w:ascii="Times New Roman" w:hAnsi="Times New Roman" w:cs="Times New Roman"/>
          <w:color w:val="auto"/>
          <w:lang w:val="en-GB"/>
        </w:rPr>
        <w:t>ALS</w:t>
      </w:r>
      <w:r>
        <w:rPr>
          <w:rFonts w:ascii="Times New Roman" w:hAnsi="Times New Roman" w:cs="Times New Roman"/>
          <w:color w:val="auto"/>
          <w:lang w:val="en-GB"/>
        </w:rPr>
        <w:t>-based</w:t>
      </w:r>
      <w:r w:rsidRPr="00ED18CF">
        <w:rPr>
          <w:rFonts w:ascii="Times New Roman" w:hAnsi="Times New Roman" w:cs="Times New Roman"/>
          <w:color w:val="auto"/>
          <w:lang w:val="en-GB"/>
        </w:rPr>
        <w:t xml:space="preserve"> indices </w:t>
      </w:r>
    </w:p>
    <w:p w:rsidR="00D56056" w:rsidRPr="00807B28" w:rsidRDefault="00D56056" w:rsidP="00D56056">
      <w:pPr>
        <w:spacing w:line="480" w:lineRule="auto"/>
        <w:rPr>
          <w:lang w:val="en-GB"/>
        </w:rPr>
      </w:pPr>
      <w:r>
        <w:rPr>
          <w:lang w:val="en-GB"/>
        </w:rPr>
        <w:t>We selected four</w:t>
      </w:r>
      <w:r w:rsidRPr="00E30038">
        <w:rPr>
          <w:lang w:val="en-GB"/>
        </w:rPr>
        <w:t xml:space="preserve"> topographic metrics </w:t>
      </w:r>
      <w:r>
        <w:rPr>
          <w:lang w:val="en-GB"/>
        </w:rPr>
        <w:t xml:space="preserve">that are known to impact </w:t>
      </w:r>
      <w:r w:rsidRPr="00E30038">
        <w:rPr>
          <w:lang w:val="en-GB"/>
        </w:rPr>
        <w:t xml:space="preserve">air temperature and other climate variables </w:t>
      </w:r>
      <w:r>
        <w:rPr>
          <w:lang w:val="en-GB"/>
        </w:rPr>
        <w:t>due to</w:t>
      </w:r>
      <w:r w:rsidRPr="00E30038">
        <w:rPr>
          <w:lang w:val="en-GB"/>
        </w:rPr>
        <w:t xml:space="preserve"> changes in atmospheric pressure and site exposure </w:t>
      </w:r>
      <w:r w:rsidRPr="00E30038">
        <w:rPr>
          <w:lang w:val="en-GB"/>
        </w:rPr>
        <w:fldChar w:fldCharType="begin"/>
      </w:r>
      <w:r>
        <w:rPr>
          <w:lang w:val="en-GB"/>
        </w:rPr>
        <w:instrText xml:space="preserve"> ADDIN ZOTERO_ITEM CSL_CITATION {"citationID":"H68vEwvQ","properties":{"formattedCitation":"(Bennie et al., 2008; Dobrowski, 2011; Jucker et al., 2018a)","plainCitation":"(Bennie et al., 2008; Dobrowski, 2011; Jucker et al., 2018a)","noteIndex":0},"citationItems":[{"id":395,"uris":["http://zotero.org/users/6209507/items/XSH7ETYV"],"itemData":{"id":395,"type":"article-journal","abstract":"There is compelling evidence from glacial and interglacial periods of the Quaternary of the utilization of microrefugia. Microrefugia are sites that support locally favorable climates amidst unfavorable regional climates, which allow populations of species to persist outside of their main distributions. Knowledge of the location of microrefugia has important implications for climate change research as it will influence our understanding of the spatial distribution of species through time, their patterns of genetic diversity, and potential dispersal rates in response to climate shifts. Indeed, the implications of microrefugia are profound and yet we know surprisingly little about their climatic basis; what climatic processes can support their subsistence, where they may occur, their climatic traits, and the relevance of these locations for climate change research. Here I examine the climatic basis for microrefugia and assert that the interaction between regional advective influences and local terrain influences will define the distribution and nature of microrefugia. I review the climatic processes that can support their subsistence and from this climatic basis: (1) infer traits of the spatial distribution of microrefugia and how this may change through time; (2) review assertions about their landscape position and what it can tell us about regional climates; and (3) demonstrate an approach to forecasting where microrefugia may occur in the future. This synthesis highlights the importance of landscape physiography in shaping the adaptive response of biota to climate change.","container-title":"Global Change Biology","DOI":"https://doi.org/10.1111/j.1365-2486.2010.02263.x","ISSN":"1365-2486","issue":"2","language":"en","note":"_eprint: https://onlinelibrary.wiley.com/doi/pdf/10.1111/j.1365-2486.2010.02263.x","page":"1022-1035","source":"Wiley Online Library","title":"A climatic basis for microrefugia: the influence of terrain on climate","title-short":"A climatic basis for microrefugia","volume":"17","author":[{"family":"Dobrowski","given":"Solomon Z."}],"issued":{"date-parts":[["2011"]]}},"label":"page"},{"id":84,"uris":["http://zotero.org/users/6209507/items/RKZE56NC"],"itemData":{"id":84,"type":"article-journal","abstract":"Topography is a key driver of tropical forest structure and composition, as it constrains local nutrient and hydraulic conditions within which trees grow. Yet, we do not fully understand how changes in forest physiognomy driven by topography impact other emergent properties of forests, such as their aboveground carbon density (ACD). Working in Borneo – at a site where 70-m-tall forests in alluvial valleys rapidly transition to stunted heath forests on nutrient-depleted dip slopes – we combined field data with airborne laser scanning and hyperspectral imaging to characterise how topography shapes the vertical structure, wood density, diversity and ACD of nearly 15 km2 of old-growth forest. We found that subtle differences in elevation – which control soil chemistry and hydrology – profoundly influenced the structure, composition and diversity of the canopy. Capturing these processes was critical to explaining landscape-scale heterogeneity in ACD, highlighting how emerging remote sensing technologies can provide new insights into long-standing ecological questions.","container-title":"Ecology Letters","DOI":"10.1111/ele.12964","ISSN":"1461-0248","issue":"7","language":"en","note":"_eprint: https://onlinelibrary.wiley.com/doi/pdf/10.1111/ele.12964","page":"989-1000","source":"Wiley Online Library","title":"Topography shapes the structure, composition and function of tropical forest landscapes","volume":"21","author":[{"family":"Jucker","given":"Tommaso"},{"family":"Bongalov","given":"Boris"},{"family":"Burslem","given":"David F. R. P."},{"family":"Nilus","given":"Reuben"},{"family":"Dalponte","given":"Michele"},{"family":"Lewis","given":"Simon L."},{"family":"Phillips","given":"Oliver L."},{"family":"Qie","given":"Lan"},{"family":"Coomes","given":"David A."}],"issued":{"date-parts":[["2018"]]}}},{"id":79,"uris":["http://zotero.org/users/6209507/items/FJ3MYXIL"],"itemData":{"id":79,"type":"article-journal","abstract":"The slope and aspect of a vegetated surface strongly affects the amount of solar radiation intercepted by that surface. Solar radiation is the dominant component of the surface energy balance and inﬂuences ecologically critical factors of microclimate, including nearsurface temperatures, evaporative demand and soil moisture content. It also determines the exposure of vegetation to photosynthetically active and ultra-violet wavelengths. Spatial variation in slope and aspect is therefore a key determinant of vegetation pattern, species distribution and ecosystem processes in many environments. Slope and aspect angle may vary considerably over distances of a few metres, and ﬁne-scale species’ distribution patterns frequently follow these topographic patterns. The availability of suitable microclimate at such scales may be critical for the response of species distributions to climatic change at much larger spatial scales. However, quantifying the relevant microclimatic gradients is not straightforward, as the potential variation in solar radiation ﬂux under clear-sky conditions is modiﬁed by local and regional variations in cloud cover, and interacts with long-wave radiation exchange, local meteorology and surface characteristics.","container-title":"Ecological Modelling","DOI":"10.1016/j.ecolmodel.2008.04.010","ISSN":"03043800","issue":"1","journalAbbreviation":"Ecological Modelling","language":"en","page":"47-59","source":"DOI.org (Crossref)","title":"Slope, aspect and climate: Spatially explicit and implicit models of topographic microclimate in chalk grassland","title-short":"Slope, aspect and climate","volume":"216","author":[{"family":"Bennie","given":"Jonathan"},{"family":"Huntley","given":"Brian"},{"family":"Wiltshire","given":"Andrew"},{"family":"Hill","given":"Mark O."},{"family":"Baxter","given":"Robert"}],"issued":{"date-parts":[["2008",8]]}}}],"schema":"https://github.com/citation-style-language/schema/raw/master/csl-citation.json"} </w:instrText>
      </w:r>
      <w:r w:rsidRPr="00E30038">
        <w:rPr>
          <w:lang w:val="en-GB"/>
        </w:rPr>
        <w:fldChar w:fldCharType="separate"/>
      </w:r>
      <w:r w:rsidRPr="00D747DC">
        <w:rPr>
          <w:rFonts w:cs="Times New Roman"/>
          <w:lang w:val="en-GB"/>
        </w:rPr>
        <w:t>(Bennie et al., 2008; Dobrowski, 2011; Jucker et al., 2018a)</w:t>
      </w:r>
      <w:r w:rsidRPr="00E30038">
        <w:rPr>
          <w:lang w:val="en-GB"/>
        </w:rPr>
        <w:fldChar w:fldCharType="end"/>
      </w:r>
      <w:r>
        <w:rPr>
          <w:lang w:val="en-GB"/>
        </w:rPr>
        <w:t xml:space="preserve">: </w:t>
      </w:r>
      <w:r w:rsidRPr="00C9572D">
        <w:rPr>
          <w:lang w:val="en-GB"/>
        </w:rPr>
        <w:t xml:space="preserve">Elevation, as the mean height of ground above </w:t>
      </w:r>
      <w:r>
        <w:rPr>
          <w:lang w:val="en-GB"/>
        </w:rPr>
        <w:t xml:space="preserve">ellipsoid (WGS1984) </w:t>
      </w:r>
      <w:r w:rsidRPr="00C9572D">
        <w:rPr>
          <w:lang w:val="en-GB"/>
        </w:rPr>
        <w:t xml:space="preserve">l (based on DTM raster pixels </w:t>
      </w:r>
      <w:r>
        <w:rPr>
          <w:lang w:val="en-GB"/>
        </w:rPr>
        <w:t>); s</w:t>
      </w:r>
      <w:r w:rsidRPr="00C9572D">
        <w:rPr>
          <w:rFonts w:eastAsia="Times New Roman"/>
          <w:lang w:val="en-GB"/>
        </w:rPr>
        <w:t>lope (based on DTM raster pixels bilinear regression [</w:t>
      </w:r>
      <w:r>
        <w:rPr>
          <w:rFonts w:eastAsia="Times New Roman"/>
          <w:lang w:val="en-GB"/>
        </w:rPr>
        <w:t>%</w:t>
      </w:r>
      <w:r w:rsidRPr="00C9572D">
        <w:rPr>
          <w:rFonts w:eastAsia="Times New Roman"/>
          <w:lang w:val="en-GB"/>
        </w:rPr>
        <w:t>]</w:t>
      </w:r>
      <w:r w:rsidRPr="00C9572D">
        <w:rPr>
          <w:lang w:val="en-GB"/>
        </w:rPr>
        <w:t xml:space="preserve">; </w:t>
      </w:r>
      <w:r>
        <w:rPr>
          <w:lang w:val="en-GB"/>
        </w:rPr>
        <w:t>the s</w:t>
      </w:r>
      <w:r w:rsidRPr="00C9572D">
        <w:rPr>
          <w:lang w:val="en-GB"/>
        </w:rPr>
        <w:t>inus of aspect (</w:t>
      </w:r>
      <w:r w:rsidRPr="00C9572D">
        <w:rPr>
          <w:rFonts w:eastAsia="Times New Roman"/>
          <w:lang w:val="en-GB"/>
        </w:rPr>
        <w:t>based on DTM raster pixels bilinear regression [sin(rad)])</w:t>
      </w:r>
      <w:r>
        <w:rPr>
          <w:lang w:val="en-GB"/>
        </w:rPr>
        <w:t>; and</w:t>
      </w:r>
      <w:r>
        <w:rPr>
          <w:rFonts w:eastAsia="Times New Roman"/>
          <w:lang w:val="en-GB"/>
        </w:rPr>
        <w:t>.</w:t>
      </w:r>
      <w:r>
        <w:rPr>
          <w:lang w:val="en-GB"/>
        </w:rPr>
        <w:t xml:space="preserve"> </w:t>
      </w:r>
      <w:r>
        <w:rPr>
          <w:rFonts w:eastAsia="Times New Roman"/>
          <w:lang w:val="en-GB"/>
        </w:rPr>
        <w:t>T</w:t>
      </w:r>
      <w:r w:rsidRPr="00601F48">
        <w:rPr>
          <w:rFonts w:eastAsia="Times New Roman"/>
          <w:lang w:val="en-GB"/>
        </w:rPr>
        <w:t xml:space="preserve">PI represents the relative position of a pixel (or cell) within the landscape ranging from negative (concave terrain, e.g. </w:t>
      </w:r>
      <w:proofErr w:type="spellStart"/>
      <w:r w:rsidRPr="00601F48">
        <w:rPr>
          <w:rFonts w:eastAsia="Times New Roman"/>
          <w:lang w:val="en-GB"/>
        </w:rPr>
        <w:t>gulleys</w:t>
      </w:r>
      <w:proofErr w:type="spellEnd"/>
      <w:r w:rsidRPr="00601F48">
        <w:rPr>
          <w:rFonts w:eastAsia="Times New Roman"/>
          <w:lang w:val="en-GB"/>
        </w:rPr>
        <w:t xml:space="preserve">) to positive (convex terrain, i.e. ridges). </w:t>
      </w:r>
      <w:r>
        <w:rPr>
          <w:rFonts w:eastAsia="Times New Roman"/>
          <w:lang w:val="en-GB"/>
        </w:rPr>
        <w:t xml:space="preserve">It </w:t>
      </w:r>
      <w:r w:rsidRPr="00601F48">
        <w:rPr>
          <w:rFonts w:eastAsia="Times New Roman"/>
          <w:lang w:val="en-GB"/>
        </w:rPr>
        <w:t>was calculated from the DTM raster</w:t>
      </w:r>
      <w:r>
        <w:rPr>
          <w:rFonts w:eastAsia="Times New Roman"/>
          <w:lang w:val="en-GB"/>
        </w:rPr>
        <w:t xml:space="preserve"> for square neighbourhoods of 2.25 ha, 6.35 ha, 12.25 ha, and 56.25 ha around the central cell respectively, using a moving window algorithm as implemented in the </w:t>
      </w:r>
      <w:proofErr w:type="spellStart"/>
      <w:r>
        <w:rPr>
          <w:rFonts w:eastAsia="Times New Roman"/>
          <w:lang w:val="en-GB"/>
        </w:rPr>
        <w:t>spatialEco</w:t>
      </w:r>
      <w:proofErr w:type="spellEnd"/>
      <w:r>
        <w:rPr>
          <w:rFonts w:eastAsia="Times New Roman"/>
          <w:lang w:val="en-GB"/>
        </w:rPr>
        <w:t xml:space="preserve">-package in R </w:t>
      </w:r>
      <w:r>
        <w:rPr>
          <w:rFonts w:eastAsia="Times New Roman"/>
          <w:lang w:val="en-GB"/>
        </w:rPr>
        <w:fldChar w:fldCharType="begin"/>
      </w:r>
      <w:r>
        <w:rPr>
          <w:rFonts w:eastAsia="Times New Roman"/>
          <w:lang w:val="en-GB"/>
        </w:rPr>
        <w:instrText xml:space="preserve"> ADDIN ZOTERO_ITEM CSL_CITATION {"citationID":"a2q6q8qtkr5","properties":{"formattedCitation":"(Evans, 2022)","plainCitation":"(Evans, 2022)","noteIndex":0},"citationItems":[{"id":2020,"uris":["http://zotero.org/users/6209507/items/W3RC4ZDC"],"itemData":{"id":2020,"type":"book","abstract":"R package for spatial analysis and modelling of ecological systems","genre":"R","note":"original-date: 2017-10-27T18:24:50Z","source":"GitHub","title":"spatialEco (dev 1.3-8)","URL":"https://github.com/jeffreyevans/spatialEco/blob/f2d12ecdb9f44da964e0aea2507390f7352e026b/inst/CITATION","author":[{"family":"Evans","given":"Jeffrey S."}],"accessed":{"date-parts":[["2022",3,29]]},"issued":{"date-parts":[["2022",3,29]]}}}],"schema":"https://github.com/citation-style-language/schema/raw/master/csl-citation.json"} </w:instrText>
      </w:r>
      <w:r>
        <w:rPr>
          <w:rFonts w:eastAsia="Times New Roman"/>
          <w:lang w:val="en-GB"/>
        </w:rPr>
        <w:fldChar w:fldCharType="separate"/>
      </w:r>
      <w:r w:rsidRPr="00D747DC">
        <w:rPr>
          <w:rFonts w:cs="Times New Roman"/>
          <w:lang w:val="en-GB"/>
        </w:rPr>
        <w:t>(Evans, 2022)</w:t>
      </w:r>
      <w:r>
        <w:rPr>
          <w:rFonts w:eastAsia="Times New Roman"/>
          <w:lang w:val="en-GB"/>
        </w:rPr>
        <w:fldChar w:fldCharType="end"/>
      </w:r>
      <w:r>
        <w:rPr>
          <w:rFonts w:eastAsia="Times New Roman"/>
          <w:lang w:val="en-GB"/>
        </w:rPr>
        <w:t xml:space="preserve">. </w:t>
      </w:r>
      <w:r w:rsidRPr="00244491">
        <w:rPr>
          <w:rFonts w:eastAsia="Times New Roman"/>
          <w:lang w:val="en-GB"/>
        </w:rPr>
        <w:t xml:space="preserve">Aspect was sine-transformed so that positive numbers represented south and negative numbers north </w:t>
      </w:r>
      <w:r w:rsidRPr="00244491">
        <w:rPr>
          <w:rFonts w:eastAsia="Times New Roman"/>
          <w:lang w:val="en-GB"/>
        </w:rPr>
        <w:fldChar w:fldCharType="begin"/>
      </w:r>
      <w:r>
        <w:rPr>
          <w:rFonts w:eastAsia="Times New Roman"/>
          <w:lang w:val="en-GB"/>
        </w:rPr>
        <w:instrText xml:space="preserve"> ADDIN ZOTERO_ITEM CSL_CITATION {"citationID":"a107i4d2uag","properties":{"formattedCitation":"(Jucker et al., 2018a)","plainCitation":"(Jucker et al., 2018a)","noteIndex":0},"citationItems":[{"id":84,"uris":["http://zotero.org/users/6209507/items/RKZE56NC"],"itemData":{"id":84,"type":"article-journal","abstract":"Topography is a key driver of tropical forest structure and composition, as it constrains local nutrient and hydraulic conditions within which trees grow. Yet, we do not fully understand how changes in forest physiognomy driven by topography impact other emergent properties of forests, such as their aboveground carbon density (ACD). Working in Borneo – at a site where 70-m-tall forests in alluvial valleys rapidly transition to stunted heath forests on nutrient-depleted dip slopes – we combined field data with airborne laser scanning and hyperspectral imaging to characterise how topography shapes the vertical structure, wood density, diversity and ACD of nearly 15 km2 of old-growth forest. We found that subtle differences in elevation – which control soil chemistry and hydrology – profoundly influenced the structure, composition and diversity of the canopy. Capturing these processes was critical to explaining landscape-scale heterogeneity in ACD, highlighting how emerging remote sensing technologies can provide new insights into long-standing ecological questions.","container-title":"Ecology Letters","DOI":"10.1111/ele.12964","ISSN":"1461-0248","issue":"7","language":"en","note":"_eprint: https://onlinelibrary.wiley.com/doi/pdf/10.1111/ele.12964","page":"989-1000","source":"Wiley Online Library","title":"Topography shapes the structure, composition and function of tropical forest landscapes","volume":"21","author":[{"family":"Jucker","given":"Tommaso"},{"family":"Bongalov","given":"Boris"},{"family":"Burslem","given":"David F. R. P."},{"family":"Nilus","given":"Reuben"},{"family":"Dalponte","given":"Michele"},{"family":"Lewis","given":"Simon L."},{"family":"Phillips","given":"Oliver L."},{"family":"Qie","given":"Lan"},{"family":"Coomes","given":"David A."}],"issued":{"date-parts":[["2018"]]}}}],"schema":"https://github.com/citation-style-language/schema/raw/master/csl-citation.json"} </w:instrText>
      </w:r>
      <w:r w:rsidRPr="00244491">
        <w:rPr>
          <w:rFonts w:eastAsia="Times New Roman"/>
          <w:lang w:val="en-GB"/>
        </w:rPr>
        <w:fldChar w:fldCharType="separate"/>
      </w:r>
      <w:r w:rsidRPr="0031370A">
        <w:rPr>
          <w:rFonts w:cs="Times New Roman"/>
          <w:lang w:val="en-GB"/>
        </w:rPr>
        <w:t>(Jucker et al., 2018a)</w:t>
      </w:r>
      <w:r w:rsidRPr="00244491">
        <w:rPr>
          <w:rFonts w:eastAsia="Times New Roman"/>
          <w:lang w:val="en-GB"/>
        </w:rPr>
        <w:fldChar w:fldCharType="end"/>
      </w:r>
      <w:r w:rsidRPr="00244491">
        <w:rPr>
          <w:rFonts w:eastAsia="Times New Roman"/>
          <w:lang w:val="en-GB"/>
        </w:rPr>
        <w:t xml:space="preserve">. </w:t>
      </w:r>
    </w:p>
    <w:p w:rsidR="00D56056" w:rsidRDefault="00D56056" w:rsidP="00D56056">
      <w:pPr>
        <w:spacing w:line="480" w:lineRule="auto"/>
        <w:rPr>
          <w:lang w:val="en-GB"/>
        </w:rPr>
      </w:pPr>
      <w:r w:rsidRPr="00E30038">
        <w:rPr>
          <w:lang w:val="en-GB"/>
        </w:rPr>
        <w:t>Six canopy structural metrics were considered in the model selection, which were significantly correlated with DTR and have been shown</w:t>
      </w:r>
      <w:r>
        <w:rPr>
          <w:lang w:val="en-GB"/>
        </w:rPr>
        <w:t xml:space="preserve"> </w:t>
      </w:r>
      <w:r w:rsidRPr="00E30038">
        <w:rPr>
          <w:lang w:val="en-GB"/>
        </w:rPr>
        <w:t xml:space="preserve">to affect DTR and other climatic variables through shading, interception or modified air-flow </w:t>
      </w:r>
      <w:r w:rsidRPr="00E30038">
        <w:rPr>
          <w:lang w:val="en-GB"/>
        </w:rPr>
        <w:fldChar w:fldCharType="begin"/>
      </w:r>
      <w:r>
        <w:rPr>
          <w:lang w:val="en-GB"/>
        </w:rPr>
        <w:instrText xml:space="preserve"> ADDIN ZOTERO_ITEM CSL_CITATION {"citationID":"a6lcvaudc1","properties":{"formattedCitation":"(Aussenac, 2000; Bramer et al., 2018; Ehbrecht et al., 2019; Gunton et al., 2015; Hardwick et al., 2015; Jucker et al., 2018b)","plainCitation":"(Aussenac, 2000; Bramer et al., 2018; Ehbrecht et al., 2019; Gunton et al., 2015; Hardwick et al., 2015; Jucker et al., 2018b)","noteIndex":0},"citationItems":[{"id":94,"uris":["http://zotero.org/users/6209507/items/2AW34HC7"],"itemData":{"id":94,"type":"article-journal","abstract":"Ambient temperatures in natural environments can vary widely over short distances, especially on rugged ground where exposure to solar radiation depends on slope and aspect. Temperatures can also fluctuate rapidly, reaching values not revealed by climate data. Such fine-scale variation raises challenges for modelling species distributions under changing climates. To avoid misunderstanding current species distributions and future changes, temperatures must be modelled at high resolutions. Most existing methods either require extensive parameterization or are pre-parameterized for restricted localities and current conditions; here, we describe a more versatile method intended for European landscapes under a wide range of scenarios. The availability of high-resolution topographic data makes possible the use of projected solar irradiation to help predict local diurnal ground temperatures. Using time series from 83 points across Europe, we fitted statistical models for soil surface temperature based on geographical characteristics of the sites along with atmospheric variables obtained from a publicly available data base. The sites ranged from 40°N to 60°N and 2°W to 25°E, and from 43 to 1500 m in elevation. We compare models for monthly mean and daily afternoon temperatures, for open and tree-covered habitats. The effect of topography was greatest for the daily predictions, and generally more important in open than in tree-covered sites. Tests with data collected from other European locations in a different time period suggest that our models can predict monthly means with an error standard deviation of about 2.3°C. We provide an R function that implements our models on the basis of readily available data. Our mean-temperatures model should be useful for understanding organisms’ niches, dispersal possibilities and community dynamics, and for predicting species’ refugia, range shifts and opportunities for adaptation under projected climate change.","container-title":"Methods in Ecology and Evolution","DOI":"10.1111/2041-210X.12355","ISSN":"2041-210X","issue":"5","language":"en","note":"_eprint: https://besjournals.onlinelibrary.wiley.com/doi/pdf/10.1111/2041-210X.12355","page":"532-542","source":"Wiley Online Library","title":"Predicting ground temperatures across European landscapes","volume":"6","author":[{"family":"Gunton","given":"Richard M."},{"family":"Polce","given":"Chiara"},{"family":"Kunin","given":"William E."}],"issued":{"date-parts":[["2015"]]}},"label":"page"},{"id":517,"uris":["http://zotero.org/users/6209507/items/AHGF7PCL"],"itemData":{"id":517,"type":"article-journal","abstract":"Land use change is a major threat to biodiversity. One mechanism by which land use change inﬂuences biodiversity and ecological processes is through changes in the local climate. Here, the relationships between leaf area index and ﬁve climate variables – air temperature, relative humidity, vapour pressure deﬁcit, speciﬁc humidity and soil temperature – are investigated across a range of land use types in Borneo, including primary tropical forest, logged forest and oil palm plantation. Strong correlations with the leaf area index are found for the mean daily maximum air and soil temperatures, the mean daily maximum vapour pressure deﬁcit and the mean daily minimum relative humidity. Air beneath canopies with high leaf area index is cooler and has higher relative humidity during the day. Forest microclimate is also found to be less variable for sites with higher leaf area indices. Primary forest is found to be up to 2.5 ◦C cooler than logged forest and up to 6.5 ◦C cooler than oil palm plantations. Our results indicate that leaf area index is a useful parameter for predicting the effects of vegetation upon microclimate, which could be used to make small scale climate predictions based on remotely sensed data.","container-title":"Agricultural and Forest Meteorology","DOI":"10.1016/j.agrformet.2014.11.010","ISSN":"01681923","journalAbbreviation":"Agricultural and Forest Meteorology","language":"en","page":"187-195","source":"DOI.org (Crossref)","title":"The relationship between leaf area index and microclimate in tropical forest and oil palm plantation: Forest disturbance drives changes in microclimate","title-short":"The relationship between leaf area index and microclimate in tropical forest and oil palm plantation","volume":"201","author":[{"family":"Hardwick","given":"Stephen R."},{"family":"Toumi","given":"Ralf"},{"family":"Pfeifer","given":"Marion"},{"family":"Turner","given":"Edgar C."},{"family":"Nilus","given":"Reuben"},{"family":"Ewers","given":"Robert M."}],"issued":{"date-parts":[["2015",2]]}},"label":"page"},{"id":50,"uris":["http://zotero.org/users/6209507/items/4E7T5BFD"],"itemData":{"id":50,"type":"article-journal","abstract":"At a local scale, forest trees and stands have a marked influence on climate; thus it is possible to define microclimates. These effects depend on local climatic characteristics and stand type. All climatic parameters should be considered, but particular attention should be paid to temperature, light and water. From a silvicultural point of view knowledge of the interactions existing between microclimatic conditions and stands, in conjunction with information now available concerning tree ecophysiology make it possible to produce viable applications which are useful for silviculture during stand formation, and for applying silvicultural treatments. Whitout a doubt, taking forest cover interactions into account (climate and ecophysiological potential of species) is the basis of sustainable management in forests. Based on the current knowledge about young stands, it is possible to use existing vegetation cover, in a more or less modified form, to improve temperature conditions especially in relation to spring frost damage, and to improve water conditions for both plant uptake and plant growth for a variable period depending on the species, but for a minimum of 4 to 5 years. For clearing and thinning, the effects of microclimatic changes created by this type of forestry management, and consequently the response of trees in terms of photosynthesis and growth, are now well defined.","container-title":"Annals of Forest Science","DOI":"10.1051/forest:2000119","ISSN":"1286-4560, 1297-966X","issue":"3","journalAbbreviation":"Ann. For. Sci.","language":"en","page":"287-301","source":"DOI.org (Crossref)","title":"Interactions between forest stands and microclimate: Ecophysiological aspects and consequences for silviculture","title-short":"Interactions between forest stands and microclimate","volume":"57","author":[{"family":"Aussenac","given":"Gilbert"}],"issued":{"date-parts":[["2000",3]]}},"label":"page"},{"id":523,"uris":["http://zotero.org/users/6209507/items/8FID22FB"],"itemData":{"id":523,"type":"article-journal","abstract":"The microclimate in forest ecosystems can be altered by modiﬁcations of stand structure due to forest management or natural forest development. Current forest management practices in Central Europe and North America aim to promote structural heterogeneity and maintain forest canopy cover, which is known to be a major driver of forest microclimate. Here, we investigated the impacts of forest management and structural heterogeneity on the diurnal temperature range (DTR) in 128 managed forest stands in three climatically different locations (Swabian Alb, Hainich-Dün and Schorfheide-Chorin) in Central Europe. Increasing structural heterogeneity by promoting tree size diversity and diﬀerentiation increased vertical stratiﬁcation and resulted in an impaired DTR during the vegetation period. Linear regression models with geographic location, elevation above sea level, canopy openness and measures of structural heterogeneity as explanatory variables explained 79.4–80.9% of variance in DTR. However, the overall eﬀect of structural heterogeneity on DTR was small. Diﬀerences in DTR between plots of diﬀerent main tree species could be attributed to diﬀerences in canopy openness and light transmission, whereas tree species diversity had no signiﬁcant eﬀect on DTR. Unmanaged forests were characterized by a signiﬁcantly lower DTR than managed, even-aged forests. DTR in uneven-aged stands managed under single tree selection was comparable to unmanaged stands. Terrestrial laser scanning (TLS) derived measures of canopy openness and vertical structure allowed to explain 79.4% of variance in DTR considering geographic location and elevation, which can also be assessed by TLS with integrated GPS and an altimeter. We conclude that structural characteristics of forest stands other than canopy openness contribute marginally to variation in forest microclimate. However, the analyses of structure-microclimate analyses indicate that eﬀects of stand structure on DTR might be more pronounced in regions with low precipitation during the vegetation period.","container-title":"Forest Ecology and Management","DOI":"10.1016/j.foreco.2018.10.008","ISSN":"03781127","journalAbbreviation":"Forest Ecology and Management","language":"en","page":"860-867","source":"DOI.org (Crossref)","title":"Effects of structural heterogeneity on the diurnal temperature range in temperate forest ecosystems","volume":"432","author":[{"family":"Ehbrecht","given":"Martin"},{"family":"Schall","given":"Peter"},{"family":"Ammer","given":"Christian"},{"family":"Fischer","given":"Markus"},{"family":"Seidel","given":"Dominik"}],"issued":{"date-parts":[["2019",1]]}},"label":"page"},{"id":524,"uris":["http://zotero.org/users/6209507/items/9EPJTGM6"],"itemData":{"id":524,"type":"article-journal","abstract":"Local‐scale microclimatic conditions in forest understoreys play a key role in shaping the composition, diversity and function of these ecosystems. Consequently, understanding what drives variation in forest microclimate is critical to forecasting ecosystem responses to global change, particularly in the tropics where many species already operate close to their thermal limits and rapid land‐use transformation is profoundly altering local environments. Yet our ability to characterize forest microclimate at ecologically meaningful scales remains limited, as understorey conditions cannot be directly measured from outside the canopy. To address this challenge, we established a network of microclimate sensors across a land‐use intensity gradient spanning from old‐growth forests to oil‐palm plantations in Borneo. We then combined these observations with high‐resolution airborne laser scanning data to characterize how topography and canopy structure shape variation in microclimate both locally and across the landscape. In the processes, we generated high‐resolution microclimate surfaces spanning over 350 km2, which we used to explore the potential impacts of habitat degradation on forest regeneration under both current and future climate scenarios. We found that topography and vegetation structure were strong predictors of local microclimate, with elevation and terrain curvature primarily constraining daily mean temperatures and vapour pressure deficit (VPD), whereas canopy height had a clear dampening effect on microclimate extremes. This buffering effect was particularly pronounced on wind‐exposed slopes but tended to saturate once canopy height exceeded 20 m—suggesting that despite intensive logging, secondary forests remain largely thermally buffered. Nonetheless, at a landscapescale microclimate was highly heterogeneous, with maximum daily temperatures ranging between 24.2 and 37.2°C and VPD spanning two orders of magnitude. Based on this, we estimate that by the end of the century forest regeneration could be hampered in degraded secondary forests that characterize much of Borneo's lowlands if temperatures continue to rise following projected trends.","container-title":"Global Change Biology","DOI":"10.1111/gcb.14415","ISSN":"13541013","issue":"11","journalAbbreviation":"Glob Change Biol","language":"en","page":"5243-5258","source":"DOI.org (Crossref)","title":"Canopy structure and topography jointly constrain the microclimate of human-modified tropical landscapes","volume":"24","author":[{"family":"Jucker","given":"Tommaso"},{"family":"Hardwick","given":"Stephen R."},{"family":"Both","given":"Sabine"},{"family":"Elias","given":"Dafydd M.O."},{"family":"Ewers","given":"Robert M."},{"family":"Milodowski","given":"David T."},{"family":"Swinfield","given":"Tom"},{"family":"Coomes","given":"David A."}],"issued":{"date-parts":[["2018",11]]}}},{"id":45,"uris":["http://zotero.org/users/6209507/items/CHZQ97GJ"],"itemData":{"id":45,"type":"chapter","abstract":"Most ecological studies of the effects of climate on species are based on average conditions above ground level (measured by meteorological stations) averaged across 100km2 or larger areas. However, most terrestrial organisms experience conditions in a much smaller area at the ground surface or within vegetation canopies, the climate of which can be very different to large-scale averages. Therefore, to accurately characterise the climatic conditions suitable for species, it is essential to include microclimate information. Microclimates are affected by the shape of the landscape, including the steepness and aspect of slopes, height above sea level, proximity to the sea or inland water, and whether a site is in a valley or at the top of a hill. Plants also modify the conditions found within or below their canopies, with the structure of vegetation playing an important role. The recent increase in the availability of microsensors and remotely sensed data at appropriate resolutions has led some ecologists to begin to include microclimate information within a variety of contexts; however the field can be confusing and intimidating and mistakes are often made along the way. In this chapter, we provide an overview of microclimatic processes and summarise the available methods of measuring and modelling microclimate data for incorporation in ecological research. We highlight pitfalls to avoid emerging novel methods and the limitations of some techniques. We also consider future research directions and opportunities within this emerging field.","collection-title":"Next Generation Biomonitoring: Part 1","container-title":"Advances in Ecological Research","language":"en","note":"DOI: 10.1016/bs.aecr.2017.12.005","page":"101-161","publisher":"Academic Press","source":"ScienceDirect","title":"Chapter Three - Advances in Monitoring and Modelling Climate at Ecologically Relevant Scales","URL":"http://www.sciencedirect.com/science/article/pii/S0065250417300302","volume":"58","author":[{"family":"Bramer","given":"Isobel"},{"family":"Anderson","given":"Barbara J."},{"family":"Bennie","given":"Jonathan"},{"family":"Bladon","given":"Andrew J."},{"family":"De Frenne","given":"Pieter"},{"family":"Hemming","given":"Deborah"},{"family":"Hill","given":"Ross A."},{"family":"Kearney","given":"Michael R."},{"family":"Körner","given":"Christian"},{"family":"Korstjens","given":"Amanda H."},{"family":"Lenoir","given":"Jonathan"},{"family":"Maclean","given":"Ilya M. D."},{"family":"Marsh","given":"Christopher D."},{"family":"Morecroft","given":"Michael D."},{"family":"Ohlemüller","given":"Ralf"},{"family":"Slater","given":"Helen D."},{"family":"Suggitt","given":"Andrew J."},{"family":"Zellweger","given":"Florian"},{"family":"Gillingham","given":"Phillipa K."}],"editor":[{"family":"Bohan","given":"David A."},{"family":"Dumbrell","given":"Alex J."},{"family":"Woodward","given":"Guy"},{"family":"Jackson","given":"Michelle"}],"accessed":{"date-parts":[["2020",11,3]]},"issued":{"date-parts":[["2018",1,1]]}}}],"schema":"https://github.com/citation-style-language/schema/raw/master/csl-citation.json"} </w:instrText>
      </w:r>
      <w:r w:rsidRPr="00E30038">
        <w:rPr>
          <w:lang w:val="en-GB"/>
        </w:rPr>
        <w:fldChar w:fldCharType="separate"/>
      </w:r>
      <w:r w:rsidRPr="00D747DC">
        <w:rPr>
          <w:rFonts w:cs="Times New Roman"/>
          <w:lang w:val="en-GB"/>
        </w:rPr>
        <w:t>(Aussenac, 2000; Bramer et al., 2018; Ehbrecht et al., 2019; Gunton et al., 2015; Hardwick et al., 2015; Jucker et al., 2018b)</w:t>
      </w:r>
      <w:r w:rsidRPr="00E30038">
        <w:rPr>
          <w:lang w:val="en-GB"/>
        </w:rPr>
        <w:fldChar w:fldCharType="end"/>
      </w:r>
      <w:r w:rsidRPr="00717246">
        <w:rPr>
          <w:lang w:val="en-GB"/>
        </w:rPr>
        <w:t>:</w:t>
      </w:r>
      <w:r w:rsidRPr="0067486E">
        <w:rPr>
          <w:lang w:val="en-GB"/>
        </w:rPr>
        <w:t>Vegetation cover (VC) with a cut-off at 5 meters abov</w:t>
      </w:r>
      <w:r>
        <w:rPr>
          <w:lang w:val="en-GB"/>
        </w:rPr>
        <w:t>e ground level (based on CHM); mean top of canopy h</w:t>
      </w:r>
      <w:r w:rsidRPr="0067486E">
        <w:rPr>
          <w:lang w:val="en-GB"/>
        </w:rPr>
        <w:t>eight (TCH) [m] (i.e. the me</w:t>
      </w:r>
      <w:r>
        <w:rPr>
          <w:lang w:val="en-GB"/>
        </w:rPr>
        <w:t>an of the CHM for each pixel); vertical distribution r</w:t>
      </w:r>
      <w:r w:rsidRPr="0067486E">
        <w:rPr>
          <w:lang w:val="en-GB"/>
        </w:rPr>
        <w:t>atio (VDR) based o</w:t>
      </w:r>
      <w:r>
        <w:rPr>
          <w:lang w:val="en-GB"/>
        </w:rPr>
        <w:t>n the normalised point cloud</w:t>
      </w:r>
      <w:r w:rsidRPr="0067486E">
        <w:rPr>
          <w:lang w:val="en-GB"/>
        </w:rPr>
        <w:t xml:space="preserve">, as in </w:t>
      </w:r>
      <w:r w:rsidRPr="0067486E">
        <w:rPr>
          <w:lang w:val="en-GB"/>
        </w:rPr>
        <w:fldChar w:fldCharType="begin"/>
      </w:r>
      <w:r>
        <w:rPr>
          <w:lang w:val="en-GB"/>
        </w:rPr>
        <w:instrText xml:space="preserve"> ADDIN ZOTERO_ITEM CSL_CITATION {"citationID":"a1gaho01208","properties":{"formattedCitation":"(Goetz et al., 2007)","plainCitation":"(Goetz et al., 2007)","noteIndex":0},"citationItems":[{"id":68,"uris":["http://zotero.org/users/6209507/items/H8MP4IZL"],"itemData":{"id":68,"type":"article-journal","abstract":"Habitat heterogeneity has long been recognized as a fundamental variable indicative of species diversity, in terms of both richness and abundance. Satellite remote sensing data sets can be useful for quantifying habitat heterogeneity across a range of spatial scales. Past remote sensing analyses of species diversity have largely been limited to correlative studies based on the use of vegetation indices or derived land cover maps. A relatively new form of laser remote sensing (lidar) provides another means to acquire information on habitat heterogeneity. Here we examine the efficacy of lidar metrics of canopy structural diversity as predictors of bird species richness in the temperate forests of Maryland, USA. Canopy height, topography and the vertical distribution of canopy elements were derived from lidar imagery of the Patuxent National Wildlife Refuge and compared to bird survey data collected at referenced grid locations. The canopy vertical distribution information was consistently found to be the strongest predictor of species richness, and this was predicted best when stratified into guilds dominated by forest, scrub, suburban and wetland species. Similar lidar variables were selected as primary predictors across guilds. Generalized linear and additive models, as well as binary hierarchical regression trees produced similar results. The lidar metrics were also consistently better predictors than traditional remotely sensed variables such as canopy cover, indicating that lidar provides a valuable resource for biodiversity research applications. © 2006 Elsevier Inc. All rights reserved.","container-title":"Remote Sensing of Environment","DOI":"10.1016/j.rse.2006.11.016","ISSN":"00344257","issue":"3","journalAbbreviation":"Remote Sensing of Environment","language":"en","page":"254-263","source":"DOI.org (Crossref)","title":"Laser remote sensing of canopy habitat heterogeneity as a predictor of bird species richness in an eastern temperate forest, USA","volume":"108","author":[{"family":"Goetz","given":"S"},{"family":"Steinberg","given":"D"},{"family":"Dubayah","given":"R"},{"family":"Blair","given":"B"}],"issued":{"date-parts":[["2007",6,15]]}}}],"schema":"https://github.com/citation-style-language/schema/raw/master/csl-citation.json"} </w:instrText>
      </w:r>
      <w:r w:rsidRPr="0067486E">
        <w:rPr>
          <w:lang w:val="en-GB"/>
        </w:rPr>
        <w:fldChar w:fldCharType="separate"/>
      </w:r>
      <w:r w:rsidRPr="00D747DC">
        <w:rPr>
          <w:rFonts w:cs="Times New Roman"/>
        </w:rPr>
        <w:t>(Goetz et al., 2007)</w:t>
      </w:r>
      <w:r w:rsidRPr="0067486E">
        <w:rPr>
          <w:lang w:val="en-GB"/>
        </w:rPr>
        <w:fldChar w:fldCharType="end"/>
      </w:r>
      <w:r w:rsidRPr="0067486E">
        <w:rPr>
          <w:lang w:val="en-GB"/>
        </w:rPr>
        <w:t xml:space="preserve"> and </w:t>
      </w:r>
      <w:r w:rsidRPr="0067486E">
        <w:rPr>
          <w:lang w:val="en-GB"/>
        </w:rPr>
        <w:fldChar w:fldCharType="begin"/>
      </w:r>
      <w:r>
        <w:rPr>
          <w:lang w:val="en-GB"/>
        </w:rPr>
        <w:instrText xml:space="preserve"> ADDIN ZOTERO_ITEM CSL_CITATION {"citationID":"a1mepr2ds0n","properties":{"formattedCitation":"(M\\uc0\\u252{}ller et al., 2018)","plainCitation":"(Müller et al., 2018)","noteIndex":0},"citationItems":[{"id":63,"uris":["http://zotero.org/users/6209507/items/7TQMYLS9"],"itemData":{"id":63,"type":"article-journal","abstract":"Despite considerable progress in the ability to measure the complex 3-D structure of forests with the improvement of remote-sensing techniques, our mechanistic understanding of how biodiversity is linked to canopy structure is still limited. Here we tested whether the increase in arthropod abundance and richness in beech forest canopies with increasing canopy complexity supports the more-individuals hypothesis or the habitat-heterogeneity hypothesis. We used fogging to collect arthropod samples from 80 standardized plots from canopies of single- to multi-layered mature montane European beech stands. Tree height and an independent measure of vertical heterogeneity – the vertical distribution ratio – on each arthropod sampling plot were derived from high-resolution full-waveform airborne laser scanning data. Mixed-model path analysis based on almost 20 000 specimens of 762 species from 11 orders provided support for the more-individuals hypothesis, with higher arthropod abundance but not higher species richness in stands with a more equal vertical distribution of plant biomass. By contrast, we found no support for the habitat-heterogeneity hypothesis. The increase in the number of individuals with increasing vertical distribution of biomass might be caused either by increasing leaf area, as indicated by higher space filling and productivity in multi-layered stands, or by higher persistence of arthropod populations owing to better shelter, reduced competition and more refuges under harsh conditions, or by both. High-resolution airborne laser scanning, with its ability to penetrate dense canopies under leaf-on conditions, has proved suitable for measuring vertical structures as a predictor for canopy diversity. Expanding combinations of remote-sensing and canopy-biodiversity data opens many avenues for improving our understanding of the link between diversity and forest structures.","container-title":"Oikos","DOI":"10.1111/oik.04972","ISSN":"1600-0706","issue":"6","language":"en","note":"_eprint: https://onlinelibrary.wiley.com/doi/pdf/10.1111/oik.04972","page":"814-824","source":"Wiley Online Library","title":"LiDAR-derived canopy structure supports the more-individuals hypothesis for arthropod diversity in temperate forests","volume":"127","author":[{"family":"Müller","given":"Jörg"},{"family":"Brandl","given":"Roland"},{"family":"Brändle","given":"Martin"},{"family":"Förster","given":"Bernhard"},{"family":"Araujo","given":"Bruno Cancian","dropping-particle":"de"},{"family":"Gossner","given":"Martin M."},{"family":"Ladas","given":"Alexander"},{"family":"Wagner","given":"Martin"},{"family":"Maraun","given":"Mark"},{"family":"Schall","given":"Peter"},{"family":"Schmidt","given":"Stefan"},{"family":"Heurich","given":"Marco"},{"family":"Thorn","given":"Simon"},{"family":"Seibold","given":"Sebastian"}],"issued":{"date-parts":[["2018"]]}}}],"schema":"https://github.com/citation-style-language/schema/raw/master/csl-citation.json"} </w:instrText>
      </w:r>
      <w:r w:rsidRPr="0067486E">
        <w:rPr>
          <w:lang w:val="en-GB"/>
        </w:rPr>
        <w:fldChar w:fldCharType="separate"/>
      </w:r>
      <w:r w:rsidRPr="0031370A">
        <w:rPr>
          <w:rFonts w:cs="Times New Roman"/>
          <w:szCs w:val="24"/>
          <w:lang w:val="en-GB"/>
        </w:rPr>
        <w:t>(Müller et al., 2018)</w:t>
      </w:r>
      <w:r w:rsidRPr="0067486E">
        <w:rPr>
          <w:lang w:val="en-GB"/>
        </w:rPr>
        <w:fldChar w:fldCharType="end"/>
      </w:r>
      <w:r>
        <w:rPr>
          <w:lang w:val="en-GB"/>
        </w:rPr>
        <w:t>; f</w:t>
      </w:r>
      <w:r w:rsidRPr="0067486E">
        <w:rPr>
          <w:lang w:val="en-GB"/>
        </w:rPr>
        <w:t xml:space="preserve">oliage height diversity (FHD), as in </w:t>
      </w:r>
      <w:r w:rsidRPr="0067486E">
        <w:rPr>
          <w:lang w:val="en-GB"/>
        </w:rPr>
        <w:fldChar w:fldCharType="begin"/>
      </w:r>
      <w:r>
        <w:rPr>
          <w:lang w:val="en-GB"/>
        </w:rPr>
        <w:instrText xml:space="preserve"> ADDIN ZOTERO_ITEM CSL_CITATION {"citationID":"a29ni4salog","properties":{"formattedCitation":"(MacArthur and MacArthur, 1961)","plainCitation":"(MacArthur and MacArthur, 1961)","noteIndex":0},"citationItems":[{"id":386,"uris":["http://zotero.org/users/6209507/items/Z5PL37UX"],"itemData":{"id":386,"type":"article-journal","container-title":"Ecology","DOI":"https://doi.org/10.2307/1932254","ISSN":"1939-9170","issue":"3","language":"en","note":"_eprint: https://esajournals.onlinelibrary.wiley.com/doi/pdf/10.2307/1932254","page":"594-598","source":"Wiley Online Library","title":"On Bird Species Diversity","volume":"42","author":[{"family":"MacArthur","given":"Robert H."},{"family":"MacArthur","given":"John W."}],"issued":{"date-parts":[["1961"]]}}}],"schema":"https://github.com/citation-style-language/schema/raw/master/csl-citation.json"} </w:instrText>
      </w:r>
      <w:r w:rsidRPr="0067486E">
        <w:rPr>
          <w:lang w:val="en-GB"/>
        </w:rPr>
        <w:fldChar w:fldCharType="separate"/>
      </w:r>
      <w:r w:rsidRPr="0031370A">
        <w:rPr>
          <w:rFonts w:cs="Times New Roman"/>
          <w:lang w:val="en-GB"/>
        </w:rPr>
        <w:t>(MacArthur and MacArthur, 1961)</w:t>
      </w:r>
      <w:r w:rsidRPr="0067486E">
        <w:rPr>
          <w:lang w:val="en-GB"/>
        </w:rPr>
        <w:fldChar w:fldCharType="end"/>
      </w:r>
      <w:r>
        <w:rPr>
          <w:lang w:val="en-GB"/>
        </w:rPr>
        <w:t>; Leaf area i</w:t>
      </w:r>
      <w:r w:rsidRPr="0067486E">
        <w:rPr>
          <w:lang w:val="en-GB"/>
        </w:rPr>
        <w:t xml:space="preserve">ndex as in at 5 m above-ground-level cut-off , based on normalized point cloud, as in </w:t>
      </w:r>
      <w:r w:rsidRPr="0067486E">
        <w:rPr>
          <w:lang w:val="en-GB"/>
        </w:rPr>
        <w:fldChar w:fldCharType="begin"/>
      </w:r>
      <w:r>
        <w:rPr>
          <w:lang w:val="en-GB"/>
        </w:rPr>
        <w:instrText xml:space="preserve"> ADDIN ZOTERO_ITEM CSL_CITATION {"citationID":"a2lci5vutt9","properties":{"formattedCitation":"(Detto et al., 2015; Getzin et al., 2017)","plainCitation":"(Detto et al., 2015; Getzin et al., 2017)","noteIndex":0},"citationItems":[{"id":463,"uris":["http://zotero.org/users/6209507/items/B6M4CDU5"],"itemData":{"id":463,"type":"article-journal","abstract":"Leaf area index and leaf area density profiles are key variables for upscaling from leaves to ecosystems yet are difficult to measure well in dense and tall forest canopies. We present a new model to estimate leaf area density profiles from discrete multireturn data derived by airborne waveform light detection and ranging (lidar), a model based on stochastic radiative transfer theory. We tested the method on simulated ray tracing data for highly clumped forest canopies, both vertically homogenous and vertically inhomogeneous. Our method was able to reproduce simulated vertical foliage profiles with small errors and predictable biases in dense canopies (leaf area index = 6) including layers below densely foliated upper canopies. As a case study, we then applied the method to real multireturn airborne lidar data for a 50 ha plot of moist tropical forest on Barro Colorado Island, Panama. The method is suitable for estimating foliage profiles in a complex tropical forest, which opens new avenues for analyses of spatial and temporal variations in foliage distributions.","container-title":"Journal of Geophysical Research: Biogeosciences","DOI":"https://doi.org/10.1002/2014JG002774","ISSN":"2169-8961","issue":"2","language":"en","note":"_eprint: https://agupubs.onlinelibrary.wiley.com/doi/pdf/10.1002/2014JG002774","page":"294-309","source":"Wiley Online Library","title":"Spatial variability in tropical forest leaf area density from multireturn lidar and modeling","volume":"120","author":[{"family":"Detto","given":"Matteo"},{"family":"Asner","given":"Gregory P."},{"family":"Muller‐Landau","given":"Helene C."},{"family":"Sonnentag","given":"Oliver"}],"issued":{"date-parts":[["2015"]]}}},{"id":385,"uris":["http://zotero.org/users/6209507/items/I4X72LC2"],"itemData":{"id":385,"type":"article-journal","abstract":"Field inventory plots which usually have small sizes of around 0.25–1 ha can only represent a sample of the much larger surrounding forest landscape. Based on airborne laser scanning (LiDAR) it has been shown for tropical forests that the bias in the selection of small field plots may hamper the extrapolation of structural forest attributes to larger spatial scales.","container-title":"Landscape Ecology","DOI":"10.1007/s10980-017-0550-7","ISSN":"1572-9761","issue":"9","journalAbbreviation":"Landscape Ecol","language":"en","page":"1881-1894","source":"Springer Link","title":"Using airborne LiDAR to assess spatial heterogeneity in forest structure on Mount Kilimanjaro","volume":"32","author":[{"family":"Getzin","given":"Stephan"},{"family":"Fischer","given":"Rico"},{"family":"Knapp","given":"Nikolai"},{"family":"Huth","given":"Andreas"}],"issued":{"date-parts":[["2017",9,1]]}}}],"schema":"https://github.com/citation-style-language/schema/raw/master/csl-citation.json"} </w:instrText>
      </w:r>
      <w:r w:rsidRPr="0067486E">
        <w:rPr>
          <w:lang w:val="en-GB"/>
        </w:rPr>
        <w:fldChar w:fldCharType="separate"/>
      </w:r>
      <w:r w:rsidRPr="0031370A">
        <w:rPr>
          <w:rFonts w:cs="Times New Roman"/>
          <w:lang w:val="en-GB"/>
        </w:rPr>
        <w:t>(Detto et al., 2015; Getzin et al., 2017)</w:t>
      </w:r>
      <w:r w:rsidRPr="0067486E">
        <w:rPr>
          <w:lang w:val="en-GB"/>
        </w:rPr>
        <w:fldChar w:fldCharType="end"/>
      </w:r>
      <w:r>
        <w:rPr>
          <w:lang w:val="en-GB"/>
        </w:rPr>
        <w:t>.</w:t>
      </w:r>
    </w:p>
    <w:p w:rsidR="00D56056" w:rsidRDefault="00D56056" w:rsidP="00D56056">
      <w:pPr>
        <w:spacing w:line="480" w:lineRule="auto"/>
        <w:rPr>
          <w:lang w:val="en-GB" w:eastAsia="de-DE"/>
        </w:rPr>
      </w:pPr>
      <w:r w:rsidRPr="00735DAA">
        <w:rPr>
          <w:lang w:val="en-GB"/>
        </w:rPr>
        <w:t>Both TCH and VC were calculated from the CHM. TCH is the mean of the CHM and VC is defined as the ratio of pixe</w:t>
      </w:r>
      <w:r>
        <w:rPr>
          <w:lang w:val="en-GB"/>
        </w:rPr>
        <w:t>ls above a given height cut-off, in</w:t>
      </w:r>
      <w:r w:rsidRPr="00735DAA">
        <w:rPr>
          <w:lang w:val="en-GB"/>
        </w:rPr>
        <w:t xml:space="preserve"> this case 5 m</w:t>
      </w:r>
      <w:r>
        <w:rPr>
          <w:lang w:val="en-GB"/>
        </w:rPr>
        <w:t xml:space="preserve"> above ground. VDR, FHD and LAI are indicative of the vertical structure of a stand. LAI </w:t>
      </w:r>
      <w:r w:rsidRPr="00E30038">
        <w:rPr>
          <w:lang w:val="en-GB" w:eastAsia="de-DE"/>
        </w:rPr>
        <w:t xml:space="preserve">was calculated as in </w:t>
      </w:r>
      <w:r w:rsidRPr="00E30038">
        <w:rPr>
          <w:lang w:val="en-GB" w:eastAsia="de-DE"/>
        </w:rPr>
        <w:fldChar w:fldCharType="begin"/>
      </w:r>
      <w:r>
        <w:rPr>
          <w:lang w:val="en-GB" w:eastAsia="de-DE"/>
        </w:rPr>
        <w:instrText xml:space="preserve"> ADDIN ZOTERO_ITEM CSL_CITATION {"citationID":"ab5dklkpk6","properties":{"formattedCitation":"(Getzin et al., 2017)","plainCitation":"(Getzin et al., 2017)","noteIndex":0},"citationItems":[{"id":385,"uris":["http://zotero.org/users/6209507/items/I4X72LC2"],"itemData":{"id":385,"type":"article-journal","abstract":"Field inventory plots which usually have small sizes of around 0.25–1 ha can only represent a sample of the much larger surrounding forest landscape. Based on airborne laser scanning (LiDAR) it has been shown for tropical forests that the bias in the selection of small field plots may hamper the extrapolation of structural forest attributes to larger spatial scales.","container-title":"Landscape Ecology","DOI":"10.1007/s10980-017-0550-7","ISSN":"1572-9761","issue":"9","journalAbbreviation":"Landscape Ecol","language":"en","page":"1881-1894","source":"Springer Link","title":"Using airborne LiDAR to assess spatial heterogeneity in forest structure on Mount Kilimanjaro","volume":"32","author":[{"family":"Getzin","given":"Stephan"},{"family":"Fischer","given":"Rico"},{"family":"Knapp","given":"Nikolai"},{"family":"Huth","given":"Andreas"}],"issued":{"date-parts":[["2017",9,1]]}}}],"schema":"https://github.com/citation-style-language/schema/raw/master/csl-citation.json"} </w:instrText>
      </w:r>
      <w:r w:rsidRPr="00E30038">
        <w:rPr>
          <w:lang w:val="en-GB" w:eastAsia="de-DE"/>
        </w:rPr>
        <w:fldChar w:fldCharType="separate"/>
      </w:r>
      <w:r w:rsidRPr="0031370A">
        <w:rPr>
          <w:rFonts w:cs="Times New Roman"/>
          <w:lang w:val="en-GB"/>
        </w:rPr>
        <w:t>(Getzin et al., 2017)</w:t>
      </w:r>
      <w:r w:rsidRPr="00E30038">
        <w:rPr>
          <w:lang w:val="en-GB" w:eastAsia="de-DE"/>
        </w:rPr>
        <w:fldChar w:fldCharType="end"/>
      </w:r>
      <w:r w:rsidRPr="00E30038">
        <w:rPr>
          <w:lang w:val="en-GB" w:eastAsia="de-DE"/>
        </w:rPr>
        <w:t xml:space="preserve"> and is based on an approach laid out in </w:t>
      </w:r>
      <w:r w:rsidRPr="00E30038">
        <w:rPr>
          <w:lang w:val="en-GB" w:eastAsia="de-DE"/>
        </w:rPr>
        <w:fldChar w:fldCharType="begin"/>
      </w:r>
      <w:r>
        <w:rPr>
          <w:lang w:val="en-GB" w:eastAsia="de-DE"/>
        </w:rPr>
        <w:instrText xml:space="preserve"> ADDIN ZOTERO_ITEM CSL_CITATION {"citationID":"a2g1h1l02ni","properties":{"formattedCitation":"(Harding et al., 2001)","plainCitation":"(Harding et al., 2001)","noteIndex":0},"citationItems":[{"id":468,"uris":["http://zotero.org/users/6209507/items/QA74NRJR"],"itemData":{"id":468,"type":"article-journal","abstract":"Waveform-recording laser altimeter observations of vegetated landscapes provide a time-resolved measure of laser pulse backscatter energy from canopy surfaces and the underlying ground. Airborne laser altimeter waveform data was acquired using the Scanning Lidar Imager of Canopies by Echo Recovery (SLICER) for a successional sequence of four, closed-canopy, deciduous forest stands in eastern Maryland. The four stands were selected so as to include a range of canopy structures of importance to forest ecosystem function, including variation in the height and roughness of the outermost canopy surface and the vertical organization of canopy stories and gaps. The character of the SLICER backscatter signal is described and a method is developed that accounts for occlusion of the laser energy by canopy surfaces, transforming the backscatter signal to a canopy height profile (CHP) that quantitatively represents the relative vertical distribution of canopy surface area. The transformation applies increased weighting to the backscatter amplitude as a function of closure through the canopy and assumes a horizontally random distribution of the canopy components. SLICER CHPs, averaged over areas of overlap where altimeter ground tracks intersect, are shown to be highly reproducible. CHP transects across the four stands reveal spatial variations in vegetation, at the scale of the individual 10-m-diameter laser footprints, within and between stands. Averaged SLICER CHPs are compared to analogous height profile results derived from ground-based sightings to plant intercepts measured on plots within the four stands. The plots were located on the segments of the altimeter ground tracks from which averaged SLICER CHPs were derived, and the ground observations were acquired within 2 weeks of the SLICER data acquisition to minimize temporal change. The differences in canopy structure between the four stands is similarly described by the SLICER and ground-based CHP results. However, a chi-square test of similarity documents differences that are statistically significant. The differences are discussed in terms of measurement properties that define the smoothness of the resulting CHPs and canopy properties that may vertically bias the CHP representations of canopy structure. The statistical differences are most likely due to the more noisy character of the ground-based CHPs, especially high in the canopy where ground-based sightings are rare resulting in an underestimate of canopy surface area and height, and to departures from assumptions of canopy uniformity, particularly regarding lack of clumping and vertically constant canopy reflectance, which bias the CHPs. The results demonstrate that the SLICER observations reliably provide a measure of canopy structure that reveals ecologically interesting structural variations such as those characterizing a successional sequence of closed-canopy, broadleaf forest stands. D 2001 Elsevier Science Inc. All rights reserved.","container-title":"Remote Sensing of Environment","DOI":"10.1016/S0034-4257(00)00210-8","ISSN":"00344257","issue":"3","journalAbbreviation":"Remote Sensing of Environment","language":"en","page":"283-297","source":"DOI.org (Crossref)","title":"Laser altimeter canopy height profiles: methods and validation for closed-canopy, broadleaf forests","title-short":"Laser altimeter canopy height profiles","volume":"76","author":[{"family":"Harding","given":"D.J"},{"family":"Lefsky","given":"M.A"},{"family":"Parker","given":"G.G"},{"family":"Blair","given":"J.B"}],"issued":{"date-parts":[["2001",6]]}}}],"schema":"https://github.com/citation-style-language/schema/raw/master/csl-citation.json"} </w:instrText>
      </w:r>
      <w:r w:rsidRPr="00E30038">
        <w:rPr>
          <w:lang w:val="en-GB" w:eastAsia="de-DE"/>
        </w:rPr>
        <w:fldChar w:fldCharType="separate"/>
      </w:r>
      <w:r w:rsidRPr="0031370A">
        <w:rPr>
          <w:rFonts w:cs="Times New Roman"/>
          <w:lang w:val="en-GB"/>
        </w:rPr>
        <w:t>(Harding et al., 2001)</w:t>
      </w:r>
      <w:r w:rsidRPr="00E30038">
        <w:rPr>
          <w:lang w:val="en-GB" w:eastAsia="de-DE"/>
        </w:rPr>
        <w:fldChar w:fldCharType="end"/>
      </w:r>
      <w:r w:rsidRPr="00E30038">
        <w:rPr>
          <w:lang w:val="en-GB" w:eastAsia="de-DE"/>
        </w:rPr>
        <w:t xml:space="preserve">, also used in </w:t>
      </w:r>
      <w:r w:rsidRPr="00E30038">
        <w:rPr>
          <w:lang w:val="en-GB" w:eastAsia="de-DE"/>
        </w:rPr>
        <w:fldChar w:fldCharType="begin"/>
      </w:r>
      <w:r>
        <w:rPr>
          <w:lang w:val="en-GB" w:eastAsia="de-DE"/>
        </w:rPr>
        <w:instrText xml:space="preserve"> ADDIN ZOTERO_ITEM CSL_CITATION {"citationID":"a1s3lsfjdo","properties":{"formattedCitation":"(Detto et al., 2015)","plainCitation":"(Detto et al., 2015)","noteIndex":0},"citationItems":[{"id":463,"uris":["http://zotero.org/users/6209507/items/B6M4CDU5"],"itemData":{"id":463,"type":"article-journal","abstract":"Leaf area index and leaf area density profiles are key variables for upscaling from leaves to ecosystems yet are difficult to measure well in dense and tall forest canopies. We present a new model to estimate leaf area density profiles from discrete multireturn data derived by airborne waveform light detection and ranging (lidar), a model based on stochastic radiative transfer theory. We tested the method on simulated ray tracing data for highly clumped forest canopies, both vertically homogenous and vertically inhomogeneous. Our method was able to reproduce simulated vertical foliage profiles with small errors and predictable biases in dense canopies (leaf area index = 6) including layers below densely foliated upper canopies. As a case study, we then applied the method to real multireturn airborne lidar data for a 50 ha plot of moist tropical forest on Barro Colorado Island, Panama. The method is suitable for estimating foliage profiles in a complex tropical forest, which opens new avenues for analyses of spatial and temporal variations in foliage distributions.","container-title":"Journal of Geophysical Research: Biogeosciences","DOI":"https://doi.org/10.1002/2014JG002774","ISSN":"2169-8961","issue":"2","language":"en","note":"_eprint: https://agupubs.onlinelibrary.wiley.com/doi/pdf/10.1002/2014JG002774","page":"294-309","source":"Wiley Online Library","title":"Spatial variability in tropical forest leaf area density from multireturn lidar and modeling","volume":"120","author":[{"family":"Detto","given":"Matteo"},{"family":"Asner","given":"Gregory P."},{"family":"Muller‐Landau","given":"Helene C."},{"family":"Sonnentag","given":"Oliver"}],"issued":{"date-parts":[["2015"]]}}}],"schema":"https://github.com/citation-style-language/schema/raw/master/csl-citation.json"} </w:instrText>
      </w:r>
      <w:r w:rsidRPr="00E30038">
        <w:rPr>
          <w:lang w:val="en-GB" w:eastAsia="de-DE"/>
        </w:rPr>
        <w:fldChar w:fldCharType="separate"/>
      </w:r>
      <w:r w:rsidRPr="0031370A">
        <w:rPr>
          <w:rFonts w:cs="Times New Roman"/>
          <w:lang w:val="en-GB"/>
        </w:rPr>
        <w:t>(Detto et al., 2015)</w:t>
      </w:r>
      <w:r w:rsidRPr="00E30038">
        <w:rPr>
          <w:lang w:val="en-GB" w:eastAsia="de-DE"/>
        </w:rPr>
        <w:fldChar w:fldCharType="end"/>
      </w:r>
      <w:r>
        <w:rPr>
          <w:lang w:val="en-GB" w:eastAsia="de-DE"/>
        </w:rPr>
        <w:t>: T</w:t>
      </w:r>
      <w:r w:rsidRPr="00E30038">
        <w:rPr>
          <w:lang w:val="en-GB" w:eastAsia="de-DE"/>
        </w:rPr>
        <w:t>he normalised point cloud is sub</w:t>
      </w:r>
      <w:r>
        <w:rPr>
          <w:lang w:val="en-GB" w:eastAsia="de-DE"/>
        </w:rPr>
        <w:t>divided into 1-</w:t>
      </w:r>
      <w:r w:rsidRPr="00E30038">
        <w:rPr>
          <w:lang w:val="en-GB" w:eastAsia="de-DE"/>
        </w:rPr>
        <w:t>m height bins, which</w:t>
      </w:r>
      <w:r>
        <w:rPr>
          <w:lang w:val="en-GB" w:eastAsia="de-DE"/>
        </w:rPr>
        <w:t xml:space="preserve"> results in a vertical profile (histogram) of the canopy foliage returns</w:t>
      </w:r>
      <w:r w:rsidRPr="00E30038">
        <w:rPr>
          <w:lang w:val="en-GB" w:eastAsia="de-DE"/>
        </w:rPr>
        <w:t xml:space="preserve"> representing point-counts per 1 m height class. As with VC, the profile is cut-off at 5 m above ground level. Below this threshold points are no longer classified as canopy profile returns. </w:t>
      </w:r>
      <w:r w:rsidRPr="00E30038">
        <w:rPr>
          <w:lang w:val="en-GB" w:eastAsia="de-DE"/>
        </w:rPr>
        <w:lastRenderedPageBreak/>
        <w:t xml:space="preserve">Furthermore, a light extinction coefficient </w:t>
      </w:r>
      <m:oMath>
        <m:r>
          <m:rPr>
            <m:sty m:val="p"/>
          </m:rPr>
          <w:rPr>
            <w:rFonts w:ascii="Cambria Math" w:hAnsi="Cambria Math"/>
            <w:lang w:val="en-GB" w:eastAsia="de-DE"/>
          </w:rPr>
          <m:t xml:space="preserve">k </m:t>
        </m:r>
      </m:oMath>
      <w:r w:rsidRPr="00E30038">
        <w:rPr>
          <w:lang w:val="en-GB" w:eastAsia="de-DE"/>
        </w:rPr>
        <w:t xml:space="preserve">is applied in order to account for occlusion, which was set to 0.3 in this case, based on a method described in </w:t>
      </w:r>
      <w:r w:rsidRPr="00E30038">
        <w:rPr>
          <w:lang w:val="en-GB" w:eastAsia="de-DE"/>
        </w:rPr>
        <w:fldChar w:fldCharType="begin"/>
      </w:r>
      <w:r>
        <w:rPr>
          <w:lang w:val="en-GB" w:eastAsia="de-DE"/>
        </w:rPr>
        <w:instrText xml:space="preserve"> ADDIN ZOTERO_ITEM CSL_CITATION {"citationID":"a18e2b8blea","properties":{"formattedCitation":"(Tang et al., 2012)","plainCitation":"(Tang et al., 2012)","noteIndex":0},"citationItems":[{"id":462,"uris":["http://zotero.org/users/6209507/items/YHY2GUUB"],"itemData":{"id":462,"type":"article-journal","abstract":"This study explores the potential of waveform lidar in mapping the vertical and spatial distributions of leaf area index (LAI) over the tropical rain forest of La Selva Biological Station in Costa Rica. Vertical profiles of LAI were derived at 0.3m height intervals from the Laser Vegetation Imaging Sensor (LVIS) data using the Geometric Optical and Radiative Transfer (GORT) model. Cumulative LAI profiles obtained from LVIS were validated with data from 55 ground to canopy vertical transects using a modular field tower to destructively sample all vegetation. Our results showed moderate agreement between lidar and field derived LAI (r2=0.42, RMSE=1.91, bias=−0.32), which further improved when differences between lidar and tower footprint scales (r2=0.50, RMSE=1.79, bias=0.27) and distance of field tower from lidar footprint center (r2=0.63, RMSE=1.36, bias=0.0) were accounted for. Next, we mapped the spatial distribution of total LAI across the landscape and analyzed LAI variations over different land cover types. Mean values of total LAI were 1.74, 5.20, 5.41 and 5.62 over open pasture, secondary forests, regeneration forests after selective-logging and old-growth forests respectively. Lastly, we evaluated the sensitivities of our LAI retrieval model to variations in canopy/ground reflectance ratio and to waveform noise such as induced by topographic slopes. We found for both, that the effects were not significant for moderate LAI values (about 4). However model derivations of LAI might be inaccurate in areas of high-slope and high LAI (about 8) if ground return energies are low. This research suggests that large footprint waveform lidar can provide accurate vertical LAI profile estimates that do not saturate even at the high LAI levels in tropical rain forests and may be a useful tool for understanding the light transmittance within these canopies.","container-title":"Remote Sensing of Environment","DOI":"10.1016/j.rse.2012.05.005","ISSN":"0034-4257","journalAbbreviation":"Remote Sensing of Environment","language":"en","page":"242-250","source":"ScienceDirect","title":"Retrieval of vertical LAI profiles over tropical rain forests using waveform lidar at La Selva, Costa Rica","volume":"124","author":[{"family":"Tang","given":"Hao"},{"family":"Dubayah","given":"Ralph"},{"family":"Swatantran","given":"Anu"},{"family":"Hofton","given":"Michelle"},{"family":"Sheldon","given":"Sage"},{"family":"Clark","given":"David B."},{"family":"Blair","given":"Bryan"}],"issued":{"date-parts":[["2012",9,1]]}}}],"schema":"https://github.com/citation-style-language/schema/raw/master/csl-citation.json"} </w:instrText>
      </w:r>
      <w:r w:rsidRPr="00E30038">
        <w:rPr>
          <w:lang w:val="en-GB" w:eastAsia="de-DE"/>
        </w:rPr>
        <w:fldChar w:fldCharType="separate"/>
      </w:r>
      <w:r w:rsidRPr="0031370A">
        <w:rPr>
          <w:rFonts w:cs="Times New Roman"/>
          <w:lang w:val="en-GB"/>
        </w:rPr>
        <w:t>(Tang et al., 2012)</w:t>
      </w:r>
      <w:r w:rsidRPr="00E30038">
        <w:rPr>
          <w:lang w:val="en-GB" w:eastAsia="de-DE"/>
        </w:rPr>
        <w:fldChar w:fldCharType="end"/>
      </w:r>
      <w:r>
        <w:rPr>
          <w:lang w:val="en-GB" w:eastAsia="de-DE"/>
        </w:rPr>
        <w:t>. The LAI values are</w:t>
      </w:r>
      <w:r w:rsidRPr="00E30038">
        <w:rPr>
          <w:lang w:val="en-GB" w:eastAsia="de-DE"/>
        </w:rPr>
        <w:t xml:space="preserve"> the sum of </w:t>
      </w:r>
      <w:r>
        <w:rPr>
          <w:lang w:val="en-GB" w:eastAsia="de-DE"/>
        </w:rPr>
        <w:t>vertical foliage profile zones.</w:t>
      </w:r>
      <w:r>
        <w:rPr>
          <w:lang w:val="en-GB" w:eastAsia="de-DE"/>
        </w:rPr>
        <w:br w:type="page"/>
      </w:r>
    </w:p>
    <w:p w:rsidR="00D56056" w:rsidRPr="00ED18CF" w:rsidRDefault="00D56056" w:rsidP="00D56056">
      <w:pPr>
        <w:pStyle w:val="berschrift2"/>
        <w:rPr>
          <w:rFonts w:ascii="Times New Roman" w:hAnsi="Times New Roman" w:cs="Times New Roman"/>
          <w:color w:val="auto"/>
          <w:lang w:val="en-GB"/>
        </w:rPr>
      </w:pPr>
      <w:r w:rsidRPr="00ED18CF">
        <w:rPr>
          <w:rFonts w:ascii="Times New Roman" w:hAnsi="Times New Roman" w:cs="Times New Roman"/>
          <w:color w:val="auto"/>
          <w:lang w:val="en-GB"/>
        </w:rPr>
        <w:lastRenderedPageBreak/>
        <w:t xml:space="preserve">7.3 Linear regression models of ALS-based stand structural and topographical metrics and temperature measurements </w:t>
      </w:r>
    </w:p>
    <w:p w:rsidR="00D56056" w:rsidRDefault="00D56056" w:rsidP="00D56056">
      <w:pPr>
        <w:spacing w:line="240" w:lineRule="auto"/>
        <w:rPr>
          <w:lang w:val="en-GB"/>
        </w:rPr>
      </w:pPr>
      <w:r>
        <w:rPr>
          <w:noProof/>
          <w:lang w:eastAsia="de-DE"/>
        </w:rPr>
        <w:drawing>
          <wp:inline distT="0" distB="0" distL="0" distR="0" wp14:anchorId="0A825A72" wp14:editId="45D4756C">
            <wp:extent cx="5743575" cy="5981700"/>
            <wp:effectExtent l="0" t="0" r="9525" b="0"/>
            <wp:docPr id="19" name="Grafik 19" descr="mean.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mean.te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3575" cy="5981700"/>
                    </a:xfrm>
                    <a:prstGeom prst="rect">
                      <a:avLst/>
                    </a:prstGeom>
                    <a:noFill/>
                    <a:ln>
                      <a:noFill/>
                    </a:ln>
                  </pic:spPr>
                </pic:pic>
              </a:graphicData>
            </a:graphic>
          </wp:inline>
        </w:drawing>
      </w:r>
    </w:p>
    <w:p w:rsidR="00D56056" w:rsidRPr="00E64ACC" w:rsidRDefault="00D56056" w:rsidP="00D56056">
      <w:pPr>
        <w:spacing w:line="240" w:lineRule="auto"/>
        <w:rPr>
          <w:rFonts w:cs="Times New Roman"/>
          <w:noProof/>
          <w:lang w:val="en-GB" w:eastAsia="en-GB"/>
        </w:rPr>
      </w:pPr>
      <w:r w:rsidRPr="00E64ACC">
        <w:rPr>
          <w:rFonts w:cs="Times New Roman"/>
          <w:b/>
          <w:noProof/>
          <w:lang w:val="en-GB" w:eastAsia="en-GB"/>
        </w:rPr>
        <w:t>Fig. 11:</w:t>
      </w:r>
      <w:r w:rsidRPr="00E64ACC">
        <w:rPr>
          <w:rFonts w:cs="Times New Roman"/>
          <w:noProof/>
          <w:lang w:val="en-GB" w:eastAsia="en-GB"/>
        </w:rPr>
        <w:t xml:space="preserve"> Linear regression models of ALS-derived topographical and canopy structural metrics and mean temperature (DTR), measured at 23 plots in even-aged (EA) uneven-aged (UEA) and unmanaged forests (UNM</w:t>
      </w:r>
      <w:bookmarkStart w:id="3" w:name="_Hlk99962729"/>
      <w:r w:rsidRPr="00E64ACC">
        <w:rPr>
          <w:rFonts w:cs="Times New Roman"/>
          <w:noProof/>
          <w:lang w:val="en-GB" w:eastAsia="en-GB"/>
        </w:rPr>
        <w:t>), during the vegetation periods of 2014-2016</w:t>
      </w:r>
      <w:bookmarkEnd w:id="3"/>
      <w:r w:rsidRPr="00E64ACC">
        <w:rPr>
          <w:rFonts w:cs="Times New Roman"/>
          <w:noProof/>
          <w:lang w:val="en-GB" w:eastAsia="en-GB"/>
        </w:rPr>
        <w:t>. The coefficient of determination (R</w:t>
      </w:r>
      <w:r w:rsidRPr="00E64ACC">
        <w:rPr>
          <w:rFonts w:cs="Times New Roman"/>
          <w:noProof/>
          <w:vertAlign w:val="superscript"/>
          <w:lang w:val="en-GB" w:eastAsia="en-GB"/>
        </w:rPr>
        <w:t>2</w:t>
      </w:r>
      <w:r w:rsidRPr="00E64ACC">
        <w:rPr>
          <w:rFonts w:cs="Times New Roman"/>
          <w:noProof/>
          <w:lang w:val="en-GB" w:eastAsia="en-GB"/>
        </w:rPr>
        <w:t>) and the equation of the linear regression model are shown for each variable, unless they were not significantly correlated (p &lt; 0.01) with mean temperature in the Hainich.</w:t>
      </w:r>
    </w:p>
    <w:p w:rsidR="00D56056" w:rsidRDefault="00D56056" w:rsidP="00D56056">
      <w:r>
        <w:rPr>
          <w:noProof/>
          <w:lang w:eastAsia="de-DE"/>
        </w:rPr>
        <w:lastRenderedPageBreak/>
        <w:drawing>
          <wp:inline distT="0" distB="0" distL="0" distR="0" wp14:anchorId="02A98EF0" wp14:editId="3DDD4828">
            <wp:extent cx="5749925" cy="5976620"/>
            <wp:effectExtent l="0" t="0" r="3175" b="5080"/>
            <wp:docPr id="17" name="Grafik 17" descr="max.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max.te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9925" cy="5976620"/>
                    </a:xfrm>
                    <a:prstGeom prst="rect">
                      <a:avLst/>
                    </a:prstGeom>
                    <a:noFill/>
                    <a:ln>
                      <a:noFill/>
                    </a:ln>
                  </pic:spPr>
                </pic:pic>
              </a:graphicData>
            </a:graphic>
          </wp:inline>
        </w:drawing>
      </w:r>
    </w:p>
    <w:p w:rsidR="00D56056" w:rsidRPr="00E64ACC" w:rsidRDefault="00D56056" w:rsidP="00D56056">
      <w:pPr>
        <w:spacing w:line="240" w:lineRule="auto"/>
        <w:rPr>
          <w:rFonts w:cs="Times New Roman"/>
          <w:noProof/>
          <w:lang w:val="en-GB" w:eastAsia="en-GB"/>
        </w:rPr>
      </w:pPr>
      <w:r w:rsidRPr="00E64ACC">
        <w:rPr>
          <w:rFonts w:cs="Times New Roman"/>
          <w:b/>
          <w:noProof/>
          <w:lang w:val="en-GB" w:eastAsia="en-GB"/>
        </w:rPr>
        <w:t>Fig. 12:</w:t>
      </w:r>
      <w:r w:rsidRPr="00E64ACC">
        <w:rPr>
          <w:rFonts w:cs="Times New Roman"/>
          <w:noProof/>
          <w:lang w:val="en-GB" w:eastAsia="en-GB"/>
        </w:rPr>
        <w:t xml:space="preserve"> Linear regression models of ALS-derived topographical and canopy structural metrics and maximum temperature (DTR), measured at 23 plots in even-aged (EA) uneven-aged (UEA) and unmanaged forests (UNM), during the vegetation periods of 2014-2016. The coefficient of determination (R</w:t>
      </w:r>
      <w:r w:rsidRPr="00E64ACC">
        <w:rPr>
          <w:rFonts w:cs="Times New Roman"/>
          <w:noProof/>
          <w:vertAlign w:val="superscript"/>
          <w:lang w:val="en-GB" w:eastAsia="en-GB"/>
        </w:rPr>
        <w:t>2</w:t>
      </w:r>
      <w:r w:rsidRPr="00E64ACC">
        <w:rPr>
          <w:rFonts w:cs="Times New Roman"/>
          <w:noProof/>
          <w:lang w:val="en-GB" w:eastAsia="en-GB"/>
        </w:rPr>
        <w:t>) and the equation of the linear regression model are shown for each variable, unless they were not significantly correlated (p &lt; 0.01) with maximum temperature in the Hainich.</w:t>
      </w:r>
    </w:p>
    <w:p w:rsidR="00D56056" w:rsidRDefault="00D56056" w:rsidP="00D56056">
      <w:pPr>
        <w:spacing w:line="240" w:lineRule="auto"/>
        <w:rPr>
          <w:rFonts w:cs="Times New Roman"/>
          <w:noProof/>
          <w:sz w:val="20"/>
          <w:lang w:val="en-GB" w:eastAsia="en-GB"/>
        </w:rPr>
      </w:pPr>
      <w:r>
        <w:rPr>
          <w:noProof/>
          <w:sz w:val="20"/>
          <w:lang w:eastAsia="de-DE"/>
        </w:rPr>
        <w:lastRenderedPageBreak/>
        <w:drawing>
          <wp:inline distT="0" distB="0" distL="0" distR="0" wp14:anchorId="6D25FE7F" wp14:editId="65A1486B">
            <wp:extent cx="5652736" cy="5881255"/>
            <wp:effectExtent l="0" t="0" r="5715" b="5715"/>
            <wp:docPr id="18" name="Grafik 18" descr="C:\Users\menge_joscha_hendrik\AppData\Local\Microsoft\Windows\INetCache\Content.MSO\ACDC726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menge_joscha_hendrik\AppData\Local\Microsoft\Windows\INetCache\Content.MSO\ACDC7262.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4008" cy="5892983"/>
                    </a:xfrm>
                    <a:prstGeom prst="rect">
                      <a:avLst/>
                    </a:prstGeom>
                    <a:noFill/>
                    <a:ln>
                      <a:noFill/>
                    </a:ln>
                  </pic:spPr>
                </pic:pic>
              </a:graphicData>
            </a:graphic>
          </wp:inline>
        </w:drawing>
      </w:r>
      <w:r w:rsidRPr="00E64ACC">
        <w:rPr>
          <w:rFonts w:cs="Times New Roman"/>
          <w:b/>
          <w:noProof/>
          <w:lang w:val="en-GB" w:eastAsia="en-GB"/>
        </w:rPr>
        <w:t>Fig. 13:</w:t>
      </w:r>
      <w:r w:rsidRPr="00E64ACC">
        <w:rPr>
          <w:rFonts w:cs="Times New Roman"/>
          <w:noProof/>
          <w:lang w:val="en-GB" w:eastAsia="en-GB"/>
        </w:rPr>
        <w:t xml:space="preserve"> Linear regression models of ALS-derived topographical and canopy structural metrics and minimum temperature (DTR), measured at 23 plots in even-aged (EA) uneven-aged (UEA) and unmanaged forests (UNM), during the vegetation periods of 2014-2016. The coefficient of determination (R</w:t>
      </w:r>
      <w:r w:rsidRPr="00E64ACC">
        <w:rPr>
          <w:rFonts w:cs="Times New Roman"/>
          <w:noProof/>
          <w:vertAlign w:val="superscript"/>
          <w:lang w:val="en-GB" w:eastAsia="en-GB"/>
        </w:rPr>
        <w:t>2</w:t>
      </w:r>
      <w:r w:rsidRPr="00E64ACC">
        <w:rPr>
          <w:rFonts w:cs="Times New Roman"/>
          <w:noProof/>
          <w:lang w:val="en-GB" w:eastAsia="en-GB"/>
        </w:rPr>
        <w:t>) and the equation of the linear regression model are shown for each variable, unless they were not significantly correlated (p &lt; 0.01) with minimum temperature in the Hainich.</w:t>
      </w:r>
    </w:p>
    <w:bookmarkEnd w:id="2"/>
    <w:p w:rsidR="007F16CC" w:rsidRPr="00ED18CF" w:rsidRDefault="007F16CC" w:rsidP="007F16CC">
      <w:pPr>
        <w:pStyle w:val="berschrift2"/>
        <w:rPr>
          <w:rFonts w:ascii="Times New Roman" w:hAnsi="Times New Roman" w:cs="Times New Roman"/>
          <w:color w:val="auto"/>
          <w:lang w:val="en-GB"/>
        </w:rPr>
      </w:pPr>
      <w:r>
        <w:rPr>
          <w:rFonts w:ascii="Times New Roman" w:hAnsi="Times New Roman" w:cs="Times New Roman"/>
          <w:color w:val="auto"/>
          <w:lang w:val="en-GB"/>
        </w:rPr>
        <w:t>7.4</w:t>
      </w:r>
      <w:r w:rsidRPr="00ED18CF">
        <w:rPr>
          <w:rFonts w:ascii="Times New Roman" w:hAnsi="Times New Roman" w:cs="Times New Roman"/>
          <w:color w:val="auto"/>
          <w:lang w:val="en-GB"/>
        </w:rPr>
        <w:t xml:space="preserve"> </w:t>
      </w:r>
      <w:r>
        <w:rPr>
          <w:rFonts w:ascii="Times New Roman" w:hAnsi="Times New Roman" w:cs="Times New Roman"/>
          <w:color w:val="auto"/>
          <w:lang w:val="en-GB"/>
        </w:rPr>
        <w:t>Calculation of microclimate indices</w:t>
      </w:r>
    </w:p>
    <w:p w:rsidR="007F16CC" w:rsidRPr="00A0525B" w:rsidRDefault="007F16CC" w:rsidP="007F16CC">
      <w:pPr>
        <w:spacing w:line="480" w:lineRule="auto"/>
        <w:rPr>
          <w:rFonts w:cs="Times New Roman"/>
          <w:lang w:val="en-GB"/>
        </w:rPr>
      </w:pPr>
      <w:r w:rsidRPr="00A0525B">
        <w:rPr>
          <w:rFonts w:cs="Times New Roman"/>
          <w:lang w:val="en-GB"/>
        </w:rPr>
        <w:t xml:space="preserve">To calculate α diversity for different scales, we assigned 4, 9, and 16 pixel to a neighbourhood (plot) respectively, by overlaying square grids with side length 100 m, 150 m, and 200 m over the extent of the DTR raster. Hereby, only those plots which were fully contained within a certain management system were included in the analysis of microclimate heterogeneity. </w:t>
      </w:r>
    </w:p>
    <w:p w:rsidR="007F16CC" w:rsidRPr="00A0525B" w:rsidRDefault="007F16CC" w:rsidP="007F16CC">
      <w:pPr>
        <w:spacing w:line="480" w:lineRule="auto"/>
        <w:rPr>
          <w:rFonts w:cs="Times New Roman"/>
          <w:lang w:val="en-GB"/>
        </w:rPr>
      </w:pPr>
      <w:r w:rsidRPr="00A0525B">
        <w:rPr>
          <w:rFonts w:cs="Times New Roman"/>
          <w:lang w:val="en-GB"/>
        </w:rPr>
        <w:t xml:space="preserve">Predicted DTR values were aggregated into DTR-classes </w:t>
      </w:r>
      <m:oMath>
        <m:r>
          <w:rPr>
            <w:rFonts w:ascii="Cambria Math" w:hAnsi="Cambria Math" w:cs="Times New Roman"/>
            <w:lang w:val="en-GB"/>
          </w:rPr>
          <m:t>c</m:t>
        </m:r>
      </m:oMath>
      <w:r w:rsidRPr="00A0525B">
        <w:rPr>
          <w:rFonts w:cs="Times New Roman"/>
          <w:lang w:val="en-GB"/>
        </w:rPr>
        <w:t xml:space="preserve"> by rounding to the next 0.</w:t>
      </w:r>
      <w:r>
        <w:rPr>
          <w:rFonts w:cs="Times New Roman"/>
          <w:lang w:val="en-GB"/>
        </w:rPr>
        <w:t>2</w:t>
      </w:r>
      <w:r w:rsidRPr="00A0525B">
        <w:rPr>
          <w:rFonts w:cs="Times New Roman"/>
          <w:lang w:val="en-GB"/>
        </w:rPr>
        <w:t xml:space="preserve">5 °C. In the context of this study, aggregated DTR classes can be interpreted as thermal niches. This distinction is </w:t>
      </w:r>
      <w:r w:rsidRPr="00A0525B">
        <w:rPr>
          <w:rFonts w:cs="Times New Roman"/>
          <w:lang w:val="en-GB"/>
        </w:rPr>
        <w:lastRenderedPageBreak/>
        <w:t>useful when studying the heterogeneity of microclimates, as the concepts and indices applied here are normally used in ecology for calculations of species diversity. We calculated within-patch α-diversity of thermal niches (</w:t>
      </w:r>
      <w:r w:rsidRPr="00A0525B">
        <w:rPr>
          <w:rFonts w:cs="Times New Roman"/>
          <w:vertAlign w:val="superscript"/>
          <w:lang w:val="en-GB"/>
        </w:rPr>
        <w:t>1</w:t>
      </w:r>
      <w:r w:rsidRPr="00A0525B">
        <w:rPr>
          <w:rFonts w:cs="Times New Roman"/>
          <w:lang w:val="en-GB"/>
        </w:rPr>
        <w:t>D</w:t>
      </w:r>
      <w:r w:rsidRPr="00A0525B">
        <w:rPr>
          <w:rFonts w:cs="Times New Roman"/>
          <w:vertAlign w:val="subscript"/>
          <w:lang w:val="en-GB"/>
        </w:rPr>
        <w:t>α</w:t>
      </w:r>
      <w:r w:rsidRPr="00A0525B">
        <w:rPr>
          <w:rFonts w:cs="Times New Roman"/>
          <w:lang w:val="en-GB"/>
        </w:rPr>
        <w:t>) for each neighbourhood size separately, based on abundance matrices of DTR-classes per plot. Similarly, overall γ-diversity (</w:t>
      </w:r>
      <w:r w:rsidRPr="00A0525B">
        <w:rPr>
          <w:rFonts w:cs="Times New Roman"/>
          <w:vertAlign w:val="superscript"/>
          <w:lang w:val="en-GB"/>
        </w:rPr>
        <w:t>1</w:t>
      </w:r>
      <w:r w:rsidRPr="00A0525B">
        <w:rPr>
          <w:rFonts w:cs="Times New Roman"/>
          <w:lang w:val="en-GB"/>
        </w:rPr>
        <w:t>D</w:t>
      </w:r>
      <w:r w:rsidRPr="00A0525B">
        <w:rPr>
          <w:rFonts w:cs="Times New Roman"/>
          <w:vertAlign w:val="subscript"/>
          <w:lang w:val="en-GB"/>
        </w:rPr>
        <w:t>γ</w:t>
      </w:r>
      <w:r w:rsidRPr="00A0525B">
        <w:rPr>
          <w:rFonts w:cs="Times New Roman"/>
          <w:lang w:val="en-GB"/>
        </w:rPr>
        <w:t>) was calculated</w:t>
      </w:r>
      <w:r w:rsidRPr="00A0525B">
        <w:rPr>
          <w:rFonts w:cs="Times New Roman"/>
          <w:vertAlign w:val="subscript"/>
          <w:lang w:val="en-GB"/>
        </w:rPr>
        <w:t xml:space="preserve"> </w:t>
      </w:r>
      <w:r w:rsidRPr="00A0525B">
        <w:rPr>
          <w:rFonts w:cs="Times New Roman"/>
          <w:lang w:val="en-GB"/>
        </w:rPr>
        <w:t xml:space="preserve">from abundance matrices of DTR classes per management system (i.e. the pooled sample) and for each neighbourhood size separately. All diversity calculations were carried out using the </w:t>
      </w:r>
      <w:r w:rsidRPr="00A0525B">
        <w:rPr>
          <w:rFonts w:cs="Times New Roman"/>
          <w:i/>
          <w:lang w:val="en-GB"/>
        </w:rPr>
        <w:t>vegan</w:t>
      </w:r>
      <w:r w:rsidRPr="00A0525B">
        <w:rPr>
          <w:rFonts w:cs="Times New Roman"/>
          <w:lang w:val="en-GB"/>
        </w:rPr>
        <w:t xml:space="preserve"> package in R Studio </w:t>
      </w:r>
      <w:r w:rsidRPr="00A0525B">
        <w:rPr>
          <w:rFonts w:cs="Times New Roman"/>
          <w:lang w:val="en-GB"/>
        </w:rPr>
        <w:fldChar w:fldCharType="begin"/>
      </w:r>
      <w:r>
        <w:rPr>
          <w:rFonts w:cs="Times New Roman"/>
          <w:lang w:val="en-GB"/>
        </w:rPr>
        <w:instrText xml:space="preserve"> ADDIN ZOTERO_ITEM CSL_CITATION {"citationID":"a1pf8msj2a4","properties":{"formattedCitation":"(Oksanen, 2019)","plainCitation":"(Oksanen, 2019)","noteIndex":0},"citationItems":[{"id":450,"uris":["http://zotero.org/users/6209507/items/ZRH6G8LE"],"itemData":{"id":450,"type":"article-journal","abstract":"The document describes typical, simple work pathways of vegetation ordination. Unconstrained ordination uses as examples detrended correspondence analysis and non-metric multidimensional scaling, and shows how to interpret their results by ﬁtting environmental vectors and factors or smooth environmental surfaces to the graph. The basic plotting command, and more advanced plotting commands for congested plots are also discussed, as well as adding items such as ellipses, convex hulls, and other items for classes. The constrained ordination uses constrained (canonical) correspondence analysis as an example. It is ﬁrst shown how a model is deﬁned, then the document discusses model building and signiﬁcance tests of the whole analysis, single constraints and axes.","language":"en","page":"12","source":"Zotero","title":"Vegan: an introduction to ordination","author":[{"family":"Oksanen","given":"Jari"}],"issued":{"date-parts":[["2019"]]}}}],"schema":"https://github.com/citation-style-language/schema/raw/master/csl-citation.json"} </w:instrText>
      </w:r>
      <w:r w:rsidRPr="00A0525B">
        <w:rPr>
          <w:rFonts w:cs="Times New Roman"/>
          <w:lang w:val="en-GB"/>
        </w:rPr>
        <w:fldChar w:fldCharType="separate"/>
      </w:r>
      <w:r w:rsidRPr="00D747DC">
        <w:rPr>
          <w:rFonts w:cs="Times New Roman"/>
          <w:lang w:val="en-GB"/>
        </w:rPr>
        <w:t>(Oksanen, 2019)</w:t>
      </w:r>
      <w:r w:rsidRPr="00A0525B">
        <w:rPr>
          <w:rFonts w:cs="Times New Roman"/>
          <w:lang w:val="en-GB"/>
        </w:rPr>
        <w:fldChar w:fldCharType="end"/>
      </w:r>
      <w:r w:rsidRPr="00A0525B">
        <w:rPr>
          <w:rFonts w:cs="Times New Roman"/>
          <w:lang w:val="en-GB"/>
        </w:rPr>
        <w:t xml:space="preserve">. </w:t>
      </w:r>
    </w:p>
    <w:p w:rsidR="007F16CC" w:rsidRPr="00A0525B" w:rsidRDefault="007F16CC" w:rsidP="007F16CC">
      <w:pPr>
        <w:spacing w:line="480" w:lineRule="auto"/>
        <w:rPr>
          <w:rFonts w:cs="Times New Roman"/>
          <w:lang w:val="en-GB"/>
        </w:rPr>
      </w:pPr>
      <w:r w:rsidRPr="00A0525B">
        <w:rPr>
          <w:rFonts w:eastAsia="MS Mincho" w:cs="Times New Roman"/>
          <w:lang w:val="en-GB" w:eastAsia="de-DE"/>
        </w:rPr>
        <w:t xml:space="preserve">With </w:t>
      </w:r>
      <m:oMath>
        <m:r>
          <w:rPr>
            <w:rFonts w:ascii="Cambria Math" w:eastAsia="MS Mincho" w:hAnsi="Cambria Math" w:cs="Times New Roman"/>
            <w:lang w:val="en-GB" w:eastAsia="de-DE"/>
          </w:rPr>
          <m:t>N</m:t>
        </m:r>
      </m:oMath>
      <w:r w:rsidRPr="00A0525B">
        <w:rPr>
          <w:rFonts w:eastAsia="MS Mincho" w:cs="Times New Roman"/>
          <w:lang w:val="en-GB" w:eastAsia="de-DE"/>
        </w:rPr>
        <w:t xml:space="preserve"> as the total number of pixels included in a calculation (given by the plot size in case of </w:t>
      </w:r>
      <w:r w:rsidRPr="00A0525B">
        <w:rPr>
          <w:rFonts w:cs="Times New Roman"/>
          <w:vertAlign w:val="superscript"/>
          <w:lang w:val="en-GB"/>
        </w:rPr>
        <w:t>1</w:t>
      </w:r>
      <w:r w:rsidRPr="00A0525B">
        <w:rPr>
          <w:rFonts w:cs="Times New Roman"/>
          <w:lang w:val="en-GB"/>
        </w:rPr>
        <w:t>D</w:t>
      </w:r>
      <w:r w:rsidRPr="00A0525B">
        <w:rPr>
          <w:rFonts w:cs="Times New Roman"/>
          <w:vertAlign w:val="subscript"/>
          <w:lang w:val="en-GB"/>
        </w:rPr>
        <w:t>α</w:t>
      </w:r>
      <w:r w:rsidRPr="00A0525B">
        <w:rPr>
          <w:rFonts w:eastAsia="MS Mincho" w:cs="Times New Roman"/>
          <w:lang w:val="en-GB" w:eastAsia="de-DE"/>
        </w:rPr>
        <w:t xml:space="preserve">) and </w:t>
      </w:r>
      <m:oMath>
        <m:sSub>
          <m:sSubPr>
            <m:ctrlPr>
              <w:rPr>
                <w:rFonts w:ascii="Cambria Math" w:eastAsia="MS Mincho" w:hAnsi="Cambria Math" w:cs="Times New Roman"/>
                <w:i/>
                <w:lang w:val="en-GB" w:eastAsia="de-DE"/>
              </w:rPr>
            </m:ctrlPr>
          </m:sSubPr>
          <m:e>
            <m:r>
              <w:rPr>
                <w:rFonts w:ascii="Cambria Math" w:eastAsia="MS Mincho" w:hAnsi="Cambria Math" w:cs="Times New Roman"/>
                <w:lang w:val="en-GB" w:eastAsia="de-DE"/>
              </w:rPr>
              <m:t>n</m:t>
            </m:r>
          </m:e>
          <m:sub>
            <m:r>
              <w:rPr>
                <w:rFonts w:ascii="Cambria Math" w:eastAsia="MS Mincho" w:hAnsi="Cambria Math" w:cs="Times New Roman"/>
                <w:lang w:val="en-GB" w:eastAsia="de-DE"/>
              </w:rPr>
              <m:t>c</m:t>
            </m:r>
          </m:sub>
        </m:sSub>
      </m:oMath>
      <w:r w:rsidRPr="00A0525B">
        <w:rPr>
          <w:rFonts w:eastAsia="MS Mincho" w:cs="Times New Roman"/>
          <w:lang w:val="en-GB" w:eastAsia="de-DE"/>
        </w:rPr>
        <w:t xml:space="preserve"> as the number of pixels belonging to a certain DTR class, t</w:t>
      </w:r>
      <w:r w:rsidRPr="00A0525B">
        <w:rPr>
          <w:rFonts w:cs="Times New Roman"/>
          <w:lang w:val="en-GB"/>
        </w:rPr>
        <w:t xml:space="preserve">he relative abundance </w:t>
      </w:r>
      <m:oMath>
        <m:sSub>
          <m:sSubPr>
            <m:ctrlPr>
              <w:rPr>
                <w:rFonts w:ascii="Cambria Math" w:hAnsi="Cambria Math" w:cs="Times New Roman"/>
                <w:i/>
                <w:lang w:val="en-GB"/>
              </w:rPr>
            </m:ctrlPr>
          </m:sSubPr>
          <m:e>
            <m:r>
              <w:rPr>
                <w:rFonts w:ascii="Cambria Math" w:hAnsi="Cambria Math" w:cs="Times New Roman"/>
                <w:lang w:val="en-GB"/>
              </w:rPr>
              <m:t>p</m:t>
            </m:r>
          </m:e>
          <m:sub>
            <m:r>
              <w:rPr>
                <w:rFonts w:ascii="Cambria Math" w:hAnsi="Cambria Math" w:cs="Times New Roman"/>
                <w:lang w:val="en-GB"/>
              </w:rPr>
              <m:t>c</m:t>
            </m:r>
          </m:sub>
        </m:sSub>
      </m:oMath>
      <w:r w:rsidRPr="00A0525B">
        <w:rPr>
          <w:rFonts w:cs="Times New Roman"/>
          <w:lang w:val="en-GB"/>
        </w:rPr>
        <w:t xml:space="preserve"> of a given DTR class was calculated as</w:t>
      </w:r>
    </w:p>
    <w:p w:rsidR="007F16CC" w:rsidRPr="00A0525B" w:rsidRDefault="00CD4139" w:rsidP="007F16CC">
      <w:pPr>
        <w:spacing w:line="480" w:lineRule="auto"/>
        <w:rPr>
          <w:rFonts w:cs="Times New Roman"/>
          <w:lang w:val="en-GB"/>
        </w:rPr>
      </w:pPr>
      <m:oMath>
        <m:sSub>
          <m:sSubPr>
            <m:ctrlPr>
              <w:rPr>
                <w:rFonts w:ascii="Cambria Math" w:hAnsi="Cambria Math" w:cs="Times New Roman"/>
                <w:i/>
                <w:lang w:val="en-GB"/>
              </w:rPr>
            </m:ctrlPr>
          </m:sSubPr>
          <m:e>
            <m:r>
              <w:rPr>
                <w:rFonts w:ascii="Cambria Math" w:hAnsi="Cambria Math" w:cs="Times New Roman"/>
                <w:lang w:val="en-GB"/>
              </w:rPr>
              <m:t>p</m:t>
            </m:r>
          </m:e>
          <m:sub>
            <m:r>
              <w:rPr>
                <w:rFonts w:ascii="Cambria Math" w:hAnsi="Cambria Math" w:cs="Times New Roman"/>
                <w:lang w:val="en-GB"/>
              </w:rPr>
              <m:t>c</m:t>
            </m:r>
          </m:sub>
        </m:sSub>
        <m:r>
          <w:rPr>
            <w:rFonts w:ascii="Cambria Math" w:hAnsi="Cambria Math" w:cs="Times New Roman"/>
            <w:lang w:val="en-GB"/>
          </w:rPr>
          <m:t>=</m:t>
        </m:r>
        <m:f>
          <m:fPr>
            <m:ctrlPr>
              <w:rPr>
                <w:rFonts w:ascii="Cambria Math" w:hAnsi="Cambria Math" w:cs="Times New Roman"/>
                <w:i/>
                <w:lang w:val="en-GB"/>
              </w:rPr>
            </m:ctrlPr>
          </m:fPr>
          <m:num>
            <m:sSub>
              <m:sSubPr>
                <m:ctrlPr>
                  <w:rPr>
                    <w:rFonts w:ascii="Cambria Math" w:hAnsi="Cambria Math" w:cs="Times New Roman"/>
                    <w:i/>
                    <w:lang w:val="en-GB"/>
                  </w:rPr>
                </m:ctrlPr>
              </m:sSubPr>
              <m:e>
                <m:r>
                  <w:rPr>
                    <w:rFonts w:ascii="Cambria Math" w:hAnsi="Cambria Math" w:cs="Times New Roman"/>
                    <w:lang w:val="en-GB"/>
                  </w:rPr>
                  <m:t>n</m:t>
                </m:r>
              </m:e>
              <m:sub>
                <m:r>
                  <w:rPr>
                    <w:rFonts w:ascii="Cambria Math" w:hAnsi="Cambria Math" w:cs="Times New Roman"/>
                    <w:lang w:val="en-GB"/>
                  </w:rPr>
                  <m:t>c</m:t>
                </m:r>
              </m:sub>
            </m:sSub>
          </m:num>
          <m:den>
            <m:r>
              <w:rPr>
                <w:rFonts w:ascii="Cambria Math" w:hAnsi="Cambria Math" w:cs="Times New Roman"/>
                <w:lang w:val="en-GB"/>
              </w:rPr>
              <m:t>N</m:t>
            </m:r>
          </m:den>
        </m:f>
      </m:oMath>
      <w:r w:rsidR="007F16CC" w:rsidRPr="00A0525B">
        <w:rPr>
          <w:rFonts w:cs="Times New Roman"/>
          <w:lang w:val="en-GB"/>
        </w:rPr>
        <w:tab/>
      </w:r>
      <w:r w:rsidR="007F16CC" w:rsidRPr="00A0525B">
        <w:rPr>
          <w:rFonts w:cs="Times New Roman"/>
          <w:lang w:val="en-GB"/>
        </w:rPr>
        <w:tab/>
      </w:r>
      <w:r w:rsidR="007F16CC" w:rsidRPr="00A0525B">
        <w:rPr>
          <w:rFonts w:cs="Times New Roman"/>
          <w:lang w:val="en-GB"/>
        </w:rPr>
        <w:tab/>
      </w:r>
      <w:r w:rsidR="007F16CC" w:rsidRPr="00A0525B">
        <w:rPr>
          <w:rFonts w:cs="Times New Roman"/>
          <w:lang w:val="en-GB"/>
        </w:rPr>
        <w:tab/>
      </w:r>
      <w:r w:rsidR="007F16CC" w:rsidRPr="00A0525B">
        <w:rPr>
          <w:rFonts w:cs="Times New Roman"/>
          <w:lang w:val="en-GB"/>
        </w:rPr>
        <w:tab/>
      </w:r>
      <w:r w:rsidR="007F16CC" w:rsidRPr="00A0525B">
        <w:rPr>
          <w:rFonts w:cs="Times New Roman"/>
          <w:lang w:val="en-GB"/>
        </w:rPr>
        <w:tab/>
      </w:r>
      <w:r w:rsidR="007F16CC" w:rsidRPr="00A0525B">
        <w:rPr>
          <w:rFonts w:cs="Times New Roman"/>
          <w:lang w:val="en-GB"/>
        </w:rPr>
        <w:tab/>
      </w:r>
      <w:r w:rsidR="007F16CC" w:rsidRPr="00A0525B">
        <w:rPr>
          <w:rFonts w:cs="Times New Roman"/>
          <w:lang w:val="en-GB"/>
        </w:rPr>
        <w:tab/>
      </w:r>
      <w:r w:rsidR="007F16CC" w:rsidRPr="00A0525B">
        <w:rPr>
          <w:rFonts w:cs="Times New Roman"/>
          <w:lang w:val="en-GB"/>
        </w:rPr>
        <w:tab/>
      </w:r>
      <w:r w:rsidR="007F16CC" w:rsidRPr="00A0525B">
        <w:rPr>
          <w:rFonts w:cs="Times New Roman"/>
          <w:lang w:val="en-GB"/>
        </w:rPr>
        <w:tab/>
      </w:r>
      <w:r w:rsidR="007F16CC" w:rsidRPr="00A0525B">
        <w:rPr>
          <w:rFonts w:cs="Times New Roman"/>
          <w:lang w:val="en-GB"/>
        </w:rPr>
        <w:tab/>
        <w:t xml:space="preserve"> </w:t>
      </w:r>
      <w:r w:rsidR="007F16CC" w:rsidRPr="00A0525B">
        <w:rPr>
          <w:rFonts w:cs="Times New Roman"/>
          <w:lang w:val="en-GB"/>
        </w:rPr>
        <w:tab/>
        <w:t>(1)</w:t>
      </w:r>
    </w:p>
    <w:p w:rsidR="007F16CC" w:rsidRPr="00A0525B" w:rsidRDefault="007F16CC" w:rsidP="007F16CC">
      <w:pPr>
        <w:spacing w:line="480" w:lineRule="auto"/>
        <w:rPr>
          <w:rFonts w:eastAsia="MS Mincho" w:cs="Times New Roman"/>
          <w:lang w:val="en-GB" w:eastAsia="de-DE"/>
        </w:rPr>
      </w:pPr>
      <w:r w:rsidRPr="00A0525B">
        <w:rPr>
          <w:rFonts w:eastAsia="MS Mincho" w:cs="Times New Roman"/>
          <w:lang w:val="en-GB" w:eastAsia="de-DE"/>
        </w:rPr>
        <w:t xml:space="preserve">And </w:t>
      </w:r>
      <m:oMath>
        <m:sPre>
          <m:sPrePr>
            <m:ctrlPr>
              <w:rPr>
                <w:rFonts w:ascii="Cambria Math" w:hAnsi="Cambria Math" w:cs="Times New Roman"/>
                <w:vertAlign w:val="superscript"/>
                <w:lang w:val="en-GB"/>
              </w:rPr>
            </m:ctrlPr>
          </m:sPrePr>
          <m:sub>
            <m:r>
              <w:rPr>
                <w:rFonts w:ascii="Cambria Math" w:hAnsi="Cambria Math" w:cs="Times New Roman"/>
                <w:vertAlign w:val="superscript"/>
                <w:lang w:val="en-GB"/>
              </w:rPr>
              <m:t xml:space="preserve"> </m:t>
            </m:r>
          </m:sub>
          <m:sup>
            <m:r>
              <w:rPr>
                <w:rFonts w:ascii="Cambria Math" w:hAnsi="Cambria Math" w:cs="Times New Roman"/>
                <w:vertAlign w:val="superscript"/>
                <w:lang w:val="en-GB"/>
              </w:rPr>
              <m:t>1</m:t>
            </m:r>
          </m:sup>
          <m:e>
            <m:r>
              <w:rPr>
                <w:rFonts w:ascii="Cambria Math" w:hAnsi="Cambria Math" w:cs="Times New Roman"/>
                <w:vertAlign w:val="superscript"/>
                <w:lang w:val="en-GB"/>
              </w:rPr>
              <m:t xml:space="preserve">D </m:t>
            </m:r>
          </m:e>
        </m:sPre>
      </m:oMath>
      <w:r w:rsidRPr="00A0525B">
        <w:rPr>
          <w:rFonts w:eastAsia="MS Mincho" w:cs="Times New Roman"/>
          <w:lang w:val="en-GB" w:eastAsia="de-DE"/>
        </w:rPr>
        <w:t xml:space="preserve"> as:</w:t>
      </w:r>
    </w:p>
    <w:p w:rsidR="007F16CC" w:rsidRPr="00A0525B" w:rsidRDefault="00CD4139" w:rsidP="007F16CC">
      <w:pPr>
        <w:spacing w:line="480" w:lineRule="auto"/>
        <w:rPr>
          <w:rFonts w:eastAsia="MS Mincho" w:cs="Times New Roman"/>
          <w:lang w:val="en-GB" w:eastAsia="de-DE"/>
        </w:rPr>
      </w:pPr>
      <m:oMath>
        <m:sPre>
          <m:sPrePr>
            <m:ctrlPr>
              <w:rPr>
                <w:rFonts w:ascii="Cambria Math" w:hAnsi="Cambria Math" w:cs="Times New Roman"/>
                <w:vertAlign w:val="superscript"/>
                <w:lang w:val="en-GB"/>
              </w:rPr>
            </m:ctrlPr>
          </m:sPrePr>
          <m:sub>
            <m:r>
              <w:rPr>
                <w:rFonts w:ascii="Cambria Math" w:hAnsi="Cambria Math" w:cs="Times New Roman"/>
                <w:vertAlign w:val="superscript"/>
                <w:lang w:val="en-GB"/>
              </w:rPr>
              <m:t xml:space="preserve"> </m:t>
            </m:r>
          </m:sub>
          <m:sup>
            <m:r>
              <w:rPr>
                <w:rFonts w:ascii="Cambria Math" w:hAnsi="Cambria Math" w:cs="Times New Roman"/>
                <w:vertAlign w:val="superscript"/>
                <w:lang w:val="en-GB"/>
              </w:rPr>
              <m:t>1</m:t>
            </m:r>
          </m:sup>
          <m:e>
            <m:r>
              <w:rPr>
                <w:rFonts w:ascii="Cambria Math" w:hAnsi="Cambria Math" w:cs="Times New Roman"/>
                <w:vertAlign w:val="superscript"/>
                <w:lang w:val="en-GB"/>
              </w:rPr>
              <m:t xml:space="preserve">D </m:t>
            </m:r>
          </m:e>
        </m:sPre>
        <m:r>
          <w:rPr>
            <w:rFonts w:ascii="Cambria Math" w:eastAsia="MS Mincho" w:hAnsi="Cambria Math" w:cs="Times New Roman"/>
            <w:lang w:val="en-GB" w:eastAsia="de-DE"/>
          </w:rPr>
          <m:t>=</m:t>
        </m:r>
        <m:r>
          <m:rPr>
            <m:sty m:val="p"/>
          </m:rPr>
          <w:rPr>
            <w:rFonts w:ascii="Cambria Math" w:eastAsia="MS Mincho" w:hAnsi="Cambria Math" w:cs="Times New Roman"/>
            <w:lang w:val="en-GB" w:eastAsia="de-DE"/>
          </w:rPr>
          <m:t>exp⁡</m:t>
        </m:r>
        <m:r>
          <w:rPr>
            <w:rFonts w:ascii="Cambria Math" w:eastAsia="MS Mincho" w:hAnsi="Cambria Math" w:cs="Times New Roman"/>
            <w:lang w:val="en-GB" w:eastAsia="de-DE"/>
          </w:rPr>
          <m:t>(-</m:t>
        </m:r>
        <m:nary>
          <m:naryPr>
            <m:chr m:val="∑"/>
            <m:limLoc m:val="undOvr"/>
            <m:ctrlPr>
              <w:rPr>
                <w:rFonts w:ascii="Cambria Math" w:eastAsia="MS Mincho" w:hAnsi="Cambria Math" w:cs="Times New Roman"/>
                <w:i/>
                <w:lang w:val="en-GB" w:eastAsia="de-DE"/>
              </w:rPr>
            </m:ctrlPr>
          </m:naryPr>
          <m:sub>
            <m:r>
              <w:rPr>
                <w:rFonts w:ascii="Cambria Math" w:eastAsia="MS Mincho" w:hAnsi="Cambria Math" w:cs="Times New Roman"/>
                <w:lang w:val="en-GB" w:eastAsia="de-DE"/>
              </w:rPr>
              <m:t>c=1</m:t>
            </m:r>
          </m:sub>
          <m:sup>
            <m:r>
              <w:rPr>
                <w:rFonts w:ascii="Cambria Math" w:eastAsia="MS Mincho" w:hAnsi="Cambria Math" w:cs="Times New Roman"/>
                <w:lang w:val="en-GB" w:eastAsia="de-DE"/>
              </w:rPr>
              <m:t>N</m:t>
            </m:r>
          </m:sup>
          <m:e>
            <m:sSub>
              <m:sSubPr>
                <m:ctrlPr>
                  <w:rPr>
                    <w:rFonts w:ascii="Cambria Math" w:eastAsia="MS Mincho" w:hAnsi="Cambria Math" w:cs="Times New Roman"/>
                    <w:i/>
                    <w:lang w:val="en-GB" w:eastAsia="de-DE"/>
                  </w:rPr>
                </m:ctrlPr>
              </m:sSubPr>
              <m:e>
                <m:r>
                  <w:rPr>
                    <w:rFonts w:ascii="Cambria Math" w:eastAsia="MS Mincho" w:hAnsi="Cambria Math" w:cs="Times New Roman"/>
                    <w:lang w:val="en-GB" w:eastAsia="de-DE"/>
                  </w:rPr>
                  <m:t>p</m:t>
                </m:r>
              </m:e>
              <m:sub>
                <m:r>
                  <w:rPr>
                    <w:rFonts w:ascii="Cambria Math" w:eastAsia="MS Mincho" w:hAnsi="Cambria Math" w:cs="Times New Roman"/>
                    <w:lang w:val="en-GB" w:eastAsia="de-DE"/>
                  </w:rPr>
                  <m:t>c</m:t>
                </m:r>
              </m:sub>
            </m:sSub>
          </m:e>
        </m:nary>
        <m:r>
          <w:rPr>
            <w:rFonts w:ascii="Cambria Math" w:eastAsia="MS Mincho" w:hAnsi="Cambria Math" w:cs="Times New Roman"/>
            <w:lang w:val="en-GB" w:eastAsia="de-DE"/>
          </w:rPr>
          <m:t>×</m:t>
        </m:r>
        <m:func>
          <m:funcPr>
            <m:ctrlPr>
              <w:rPr>
                <w:rFonts w:ascii="Cambria Math" w:eastAsia="MS Mincho" w:hAnsi="Cambria Math" w:cs="Times New Roman"/>
                <w:lang w:val="en-GB" w:eastAsia="de-DE"/>
              </w:rPr>
            </m:ctrlPr>
          </m:funcPr>
          <m:fName>
            <m:r>
              <m:rPr>
                <m:sty m:val="p"/>
              </m:rPr>
              <w:rPr>
                <w:rFonts w:ascii="Cambria Math" w:eastAsia="MS Mincho" w:hAnsi="Cambria Math" w:cs="Times New Roman"/>
                <w:lang w:val="en-GB" w:eastAsia="de-DE"/>
              </w:rPr>
              <m:t>ln</m:t>
            </m:r>
            <m:ctrlPr>
              <w:rPr>
                <w:rFonts w:ascii="Cambria Math" w:eastAsia="MS Mincho" w:hAnsi="Cambria Math" w:cs="Times New Roman"/>
                <w:i/>
                <w:lang w:val="en-GB" w:eastAsia="de-DE"/>
              </w:rPr>
            </m:ctrlPr>
          </m:fName>
          <m:e>
            <m:d>
              <m:dPr>
                <m:ctrlPr>
                  <w:rPr>
                    <w:rFonts w:ascii="Cambria Math" w:eastAsia="MS Mincho" w:hAnsi="Cambria Math" w:cs="Times New Roman"/>
                    <w:i/>
                    <w:lang w:val="en-GB" w:eastAsia="de-DE"/>
                  </w:rPr>
                </m:ctrlPr>
              </m:dPr>
              <m:e>
                <m:sSub>
                  <m:sSubPr>
                    <m:ctrlPr>
                      <w:rPr>
                        <w:rFonts w:ascii="Cambria Math" w:eastAsia="MS Mincho" w:hAnsi="Cambria Math" w:cs="Times New Roman"/>
                        <w:i/>
                        <w:lang w:val="en-GB" w:eastAsia="de-DE"/>
                      </w:rPr>
                    </m:ctrlPr>
                  </m:sSubPr>
                  <m:e>
                    <m:r>
                      <w:rPr>
                        <w:rFonts w:ascii="Cambria Math" w:eastAsia="MS Mincho" w:hAnsi="Cambria Math" w:cs="Times New Roman"/>
                        <w:lang w:val="en-GB" w:eastAsia="de-DE"/>
                      </w:rPr>
                      <m:t>p</m:t>
                    </m:r>
                  </m:e>
                  <m:sub>
                    <m:r>
                      <w:rPr>
                        <w:rFonts w:ascii="Cambria Math" w:eastAsia="MS Mincho" w:hAnsi="Cambria Math" w:cs="Times New Roman"/>
                        <w:lang w:val="en-GB" w:eastAsia="de-DE"/>
                      </w:rPr>
                      <m:t>c</m:t>
                    </m:r>
                  </m:sub>
                </m:sSub>
              </m:e>
            </m:d>
          </m:e>
        </m:func>
        <m:r>
          <w:rPr>
            <w:rFonts w:ascii="Cambria Math" w:eastAsia="MS Mincho" w:hAnsi="Cambria Math" w:cs="Times New Roman"/>
            <w:lang w:val="en-GB" w:eastAsia="de-DE"/>
          </w:rPr>
          <m:t>)</m:t>
        </m:r>
      </m:oMath>
      <w:r w:rsidR="007F16CC" w:rsidRPr="00A0525B">
        <w:rPr>
          <w:rFonts w:eastAsia="MS Mincho" w:cs="Times New Roman"/>
          <w:lang w:val="en-GB" w:eastAsia="de-DE"/>
        </w:rPr>
        <w:tab/>
      </w:r>
      <w:r w:rsidR="007F16CC" w:rsidRPr="00A0525B">
        <w:rPr>
          <w:rFonts w:eastAsia="MS Mincho" w:cs="Times New Roman"/>
          <w:lang w:val="en-GB" w:eastAsia="de-DE"/>
        </w:rPr>
        <w:tab/>
      </w:r>
      <w:r w:rsidR="007F16CC" w:rsidRPr="00A0525B">
        <w:rPr>
          <w:rFonts w:eastAsia="MS Mincho" w:cs="Times New Roman"/>
          <w:lang w:val="en-GB" w:eastAsia="de-DE"/>
        </w:rPr>
        <w:tab/>
      </w:r>
      <w:r w:rsidR="007F16CC" w:rsidRPr="00A0525B">
        <w:rPr>
          <w:rFonts w:eastAsia="MS Mincho" w:cs="Times New Roman"/>
          <w:lang w:val="en-GB" w:eastAsia="de-DE"/>
        </w:rPr>
        <w:tab/>
      </w:r>
      <w:r w:rsidR="007F16CC" w:rsidRPr="00A0525B">
        <w:rPr>
          <w:rFonts w:eastAsia="MS Mincho" w:cs="Times New Roman"/>
          <w:lang w:val="en-GB" w:eastAsia="de-DE"/>
        </w:rPr>
        <w:tab/>
      </w:r>
      <w:r w:rsidR="007F16CC" w:rsidRPr="00A0525B">
        <w:rPr>
          <w:rFonts w:eastAsia="MS Mincho" w:cs="Times New Roman"/>
          <w:lang w:val="en-GB" w:eastAsia="de-DE"/>
        </w:rPr>
        <w:tab/>
      </w:r>
      <w:r w:rsidR="007F16CC" w:rsidRPr="00A0525B">
        <w:rPr>
          <w:rFonts w:eastAsia="MS Mincho" w:cs="Times New Roman"/>
          <w:lang w:val="en-GB" w:eastAsia="de-DE"/>
        </w:rPr>
        <w:tab/>
      </w:r>
      <w:r w:rsidR="007F16CC" w:rsidRPr="00A0525B">
        <w:rPr>
          <w:rFonts w:eastAsia="MS Mincho" w:cs="Times New Roman"/>
          <w:lang w:val="en-GB" w:eastAsia="de-DE"/>
        </w:rPr>
        <w:tab/>
        <w:t xml:space="preserve">(2) </w:t>
      </w:r>
      <w:r w:rsidR="007F16CC" w:rsidRPr="00A0525B">
        <w:rPr>
          <w:rFonts w:eastAsia="MS Mincho" w:cs="Times New Roman"/>
          <w:lang w:val="en-GB" w:eastAsia="de-DE"/>
        </w:rPr>
        <w:br/>
        <w:t xml:space="preserve">Following the approach described in </w:t>
      </w:r>
      <w:r w:rsidR="007F16CC" w:rsidRPr="00A0525B">
        <w:rPr>
          <w:rFonts w:eastAsia="MS Mincho" w:cs="Times New Roman"/>
          <w:lang w:val="en-GB" w:eastAsia="de-DE"/>
        </w:rPr>
        <w:fldChar w:fldCharType="begin"/>
      </w:r>
      <w:r w:rsidR="007F16CC">
        <w:rPr>
          <w:rFonts w:eastAsia="MS Mincho" w:cs="Times New Roman"/>
          <w:lang w:val="en-GB" w:eastAsia="de-DE"/>
        </w:rPr>
        <w:instrText xml:space="preserve"> ADDIN ZOTERO_ITEM CSL_CITATION {"citationID":"a1qk404gbj4","properties":{"formattedCitation":"(Jost, 2007)","plainCitation":"(Jost, 2007)","dontUpdate":true,"noteIndex":0},"citationItems":[{"id":388,"uris":["http://zotero.org/users/6209507/items/HHYYWXJI"],"itemData":{"id":388,"type":"article-journal","abstract":"Existing general definitions of beta diversity often produce a beta with a hidden dependence on alpha. Such a beta cannot be used to compare regions that differ in alpha diversity. To avoid misinterpretation, existing definitions of alpha and beta must be replaced by a definition that partitions diversity into independent alpha and beta components. Such a unique definition is derived here. When these new alpha and beta components are transformed into their numbers equivalents (effective numbers of elements), Whittaker's multiplicative law (alpha × beta = gamma) is necessarily true for all indices. The new beta gives the effective number of distinct communities. The most popular similarity and overlap measures of ecology (Jaccard, Sorensen, Horn, and Morisita-Horn indices) are monotonic transformations of the new beta diversity. Shannon measures follow deductively from this formalism and do not need to be borrowed from information theory; they are shown to be the only standard diversity measures which can be decomposed into meaningful independent alpha and beta components when community weights are unequal.","container-title":"Ecology","DOI":"https://doi.org/10.1890/06-1736.1","ISSN":"1939-9170","issue":"10","language":"en","note":"_eprint: https://esajournals.onlinelibrary.wiley.com/doi/pdf/10.1890/06-1736.1","page":"2427-2439","source":"Wiley Online Library","title":"Partitioning Diversity into Independent Alpha and Beta Components","volume":"88","author":[{"family":"Jost","given":"Lou"}],"issued":{"date-parts":[["2007"]]}}}],"schema":"https://github.com/citation-style-language/schema/raw/master/csl-citation.json"} </w:instrText>
      </w:r>
      <w:r w:rsidR="007F16CC" w:rsidRPr="00A0525B">
        <w:rPr>
          <w:rFonts w:eastAsia="MS Mincho" w:cs="Times New Roman"/>
          <w:lang w:val="en-GB" w:eastAsia="de-DE"/>
        </w:rPr>
        <w:fldChar w:fldCharType="separate"/>
      </w:r>
      <w:r w:rsidR="007F16CC" w:rsidRPr="00A0525B">
        <w:rPr>
          <w:rFonts w:cs="Times New Roman"/>
          <w:lang w:val="en-GB"/>
        </w:rPr>
        <w:t>Jost (2007)</w:t>
      </w:r>
      <w:r w:rsidR="007F16CC" w:rsidRPr="00A0525B">
        <w:rPr>
          <w:rFonts w:eastAsia="MS Mincho" w:cs="Times New Roman"/>
          <w:lang w:val="en-GB" w:eastAsia="de-DE"/>
        </w:rPr>
        <w:fldChar w:fldCharType="end"/>
      </w:r>
      <w:r w:rsidR="007F16CC" w:rsidRPr="00A0525B">
        <w:rPr>
          <w:rFonts w:eastAsia="MS Mincho" w:cs="Times New Roman"/>
          <w:lang w:val="en-GB" w:eastAsia="de-DE"/>
        </w:rPr>
        <w:t xml:space="preserve">, both thermal niche richness </w:t>
      </w:r>
      <w:r w:rsidR="007F16CC" w:rsidRPr="00A0525B">
        <w:rPr>
          <w:rFonts w:eastAsia="MS Mincho" w:cs="Times New Roman"/>
          <w:vertAlign w:val="superscript"/>
          <w:lang w:val="en-GB" w:eastAsia="de-DE"/>
        </w:rPr>
        <w:t>0</w:t>
      </w:r>
      <w:r w:rsidR="007F16CC" w:rsidRPr="00A0525B">
        <w:rPr>
          <w:rFonts w:eastAsia="MS Mincho" w:cs="Times New Roman"/>
          <w:lang w:val="en-GB" w:eastAsia="de-DE"/>
        </w:rPr>
        <w:t xml:space="preserve">D and exponential Shannon index </w:t>
      </w:r>
      <w:r w:rsidR="007F16CC" w:rsidRPr="00A0525B">
        <w:rPr>
          <w:rFonts w:cs="Times New Roman"/>
          <w:vertAlign w:val="superscript"/>
          <w:lang w:val="en-GB"/>
        </w:rPr>
        <w:t>1</w:t>
      </w:r>
      <w:r w:rsidR="007F16CC" w:rsidRPr="00A0525B">
        <w:rPr>
          <w:rFonts w:cs="Times New Roman"/>
          <w:lang w:val="en-GB"/>
        </w:rPr>
        <w:t>D could thus be partitioned into α-, β-, γ-components as</w:t>
      </w:r>
    </w:p>
    <w:p w:rsidR="007F16CC" w:rsidRPr="00A0525B" w:rsidRDefault="00CD4139" w:rsidP="007F16CC">
      <w:pPr>
        <w:spacing w:line="480" w:lineRule="auto"/>
        <w:rPr>
          <w:rFonts w:eastAsia="MS Mincho" w:cs="Times New Roman"/>
          <w:lang w:val="en-GB" w:eastAsia="de-DE"/>
        </w:rPr>
      </w:pPr>
      <m:oMath>
        <m:sSub>
          <m:sSubPr>
            <m:ctrlPr>
              <w:rPr>
                <w:rFonts w:ascii="Cambria Math" w:eastAsia="MS Mincho" w:hAnsi="Cambria Math" w:cs="Times New Roman"/>
                <w:i/>
                <w:lang w:val="en-GB" w:eastAsia="de-DE"/>
              </w:rPr>
            </m:ctrlPr>
          </m:sSubPr>
          <m:e>
            <m:r>
              <w:rPr>
                <w:rFonts w:ascii="Cambria Math" w:eastAsia="MS Mincho" w:hAnsi="Cambria Math" w:cs="Times New Roman"/>
                <w:lang w:val="en-GB" w:eastAsia="de-DE"/>
              </w:rPr>
              <m:t>D</m:t>
            </m:r>
          </m:e>
          <m:sub>
            <m:r>
              <w:rPr>
                <w:rFonts w:ascii="Cambria Math" w:eastAsia="MS Mincho" w:hAnsi="Cambria Math" w:cs="Times New Roman"/>
                <w:lang w:val="en-GB" w:eastAsia="de-DE"/>
              </w:rPr>
              <m:t>β</m:t>
            </m:r>
          </m:sub>
        </m:sSub>
        <m:r>
          <w:rPr>
            <w:rFonts w:ascii="Cambria Math" w:eastAsia="MS Mincho" w:hAnsi="Cambria Math" w:cs="Times New Roman"/>
            <w:lang w:val="en-GB" w:eastAsia="de-DE"/>
          </w:rPr>
          <m:t>=</m:t>
        </m:r>
        <m:f>
          <m:fPr>
            <m:ctrlPr>
              <w:rPr>
                <w:rFonts w:ascii="Cambria Math" w:eastAsia="MS Mincho" w:hAnsi="Cambria Math" w:cs="Times New Roman"/>
                <w:i/>
                <w:lang w:val="en-GB" w:eastAsia="de-DE"/>
              </w:rPr>
            </m:ctrlPr>
          </m:fPr>
          <m:num>
            <m:sSub>
              <m:sSubPr>
                <m:ctrlPr>
                  <w:rPr>
                    <w:rFonts w:ascii="Cambria Math" w:eastAsia="MS Mincho" w:hAnsi="Cambria Math" w:cs="Times New Roman"/>
                    <w:i/>
                    <w:lang w:val="en-GB" w:eastAsia="de-DE"/>
                  </w:rPr>
                </m:ctrlPr>
              </m:sSubPr>
              <m:e>
                <m:r>
                  <w:rPr>
                    <w:rFonts w:ascii="Cambria Math" w:eastAsia="MS Mincho" w:hAnsi="Cambria Math" w:cs="Times New Roman"/>
                    <w:lang w:val="en-GB" w:eastAsia="de-DE"/>
                  </w:rPr>
                  <m:t>D</m:t>
                </m:r>
              </m:e>
              <m:sub>
                <m:r>
                  <w:rPr>
                    <w:rFonts w:ascii="Cambria Math" w:eastAsia="MS Mincho" w:hAnsi="Cambria Math" w:cs="Times New Roman"/>
                    <w:lang w:val="en-GB" w:eastAsia="de-DE"/>
                  </w:rPr>
                  <m:t>γ</m:t>
                </m:r>
              </m:sub>
            </m:sSub>
          </m:num>
          <m:den>
            <m:sSub>
              <m:sSubPr>
                <m:ctrlPr>
                  <w:rPr>
                    <w:rFonts w:ascii="Cambria Math" w:eastAsia="MS Mincho" w:hAnsi="Cambria Math" w:cs="Times New Roman"/>
                    <w:i/>
                    <w:lang w:val="en-GB" w:eastAsia="de-DE"/>
                  </w:rPr>
                </m:ctrlPr>
              </m:sSubPr>
              <m:e>
                <m:r>
                  <w:rPr>
                    <w:rFonts w:ascii="Cambria Math" w:eastAsia="MS Mincho" w:hAnsi="Cambria Math" w:cs="Times New Roman"/>
                    <w:lang w:val="en-GB" w:eastAsia="de-DE"/>
                  </w:rPr>
                  <m:t>D</m:t>
                </m:r>
              </m:e>
              <m:sub>
                <m:r>
                  <w:rPr>
                    <w:rFonts w:ascii="Cambria Math" w:eastAsia="MS Mincho" w:hAnsi="Cambria Math" w:cs="Times New Roman"/>
                    <w:lang w:val="en-GB" w:eastAsia="de-DE"/>
                  </w:rPr>
                  <m:t>α</m:t>
                </m:r>
              </m:sub>
            </m:sSub>
          </m:den>
        </m:f>
      </m:oMath>
      <w:r w:rsidR="007F16CC" w:rsidRPr="00A0525B">
        <w:rPr>
          <w:rFonts w:eastAsia="MS Mincho" w:cs="Times New Roman"/>
          <w:lang w:val="en-GB" w:eastAsia="de-DE"/>
        </w:rPr>
        <w:tab/>
      </w:r>
      <w:r w:rsidR="007F16CC" w:rsidRPr="00A0525B">
        <w:rPr>
          <w:rFonts w:eastAsia="MS Mincho" w:cs="Times New Roman"/>
          <w:lang w:val="en-GB" w:eastAsia="de-DE"/>
        </w:rPr>
        <w:tab/>
      </w:r>
      <w:r w:rsidR="007F16CC" w:rsidRPr="00A0525B">
        <w:rPr>
          <w:rFonts w:eastAsia="MS Mincho" w:cs="Times New Roman"/>
          <w:lang w:val="en-GB" w:eastAsia="de-DE"/>
        </w:rPr>
        <w:tab/>
      </w:r>
      <w:r w:rsidR="007F16CC" w:rsidRPr="00A0525B">
        <w:rPr>
          <w:rFonts w:eastAsia="MS Mincho" w:cs="Times New Roman"/>
          <w:lang w:val="en-GB" w:eastAsia="de-DE"/>
        </w:rPr>
        <w:tab/>
      </w:r>
      <w:r w:rsidR="007F16CC" w:rsidRPr="00A0525B">
        <w:rPr>
          <w:rFonts w:eastAsia="MS Mincho" w:cs="Times New Roman"/>
          <w:lang w:val="en-GB" w:eastAsia="de-DE"/>
        </w:rPr>
        <w:tab/>
      </w:r>
      <w:r w:rsidR="007F16CC" w:rsidRPr="00A0525B">
        <w:rPr>
          <w:rFonts w:eastAsia="MS Mincho" w:cs="Times New Roman"/>
          <w:lang w:val="en-GB" w:eastAsia="de-DE"/>
        </w:rPr>
        <w:tab/>
      </w:r>
      <w:r w:rsidR="007F16CC" w:rsidRPr="00A0525B">
        <w:rPr>
          <w:rFonts w:eastAsia="MS Mincho" w:cs="Times New Roman"/>
          <w:lang w:val="en-GB" w:eastAsia="de-DE"/>
        </w:rPr>
        <w:tab/>
      </w:r>
      <w:r w:rsidR="007F16CC" w:rsidRPr="00A0525B">
        <w:rPr>
          <w:rFonts w:eastAsia="MS Mincho" w:cs="Times New Roman"/>
          <w:lang w:val="en-GB" w:eastAsia="de-DE"/>
        </w:rPr>
        <w:tab/>
      </w:r>
      <w:r w:rsidR="007F16CC" w:rsidRPr="00A0525B">
        <w:rPr>
          <w:rFonts w:eastAsia="MS Mincho" w:cs="Times New Roman"/>
          <w:lang w:val="en-GB" w:eastAsia="de-DE"/>
        </w:rPr>
        <w:tab/>
      </w:r>
      <w:r w:rsidR="007F16CC" w:rsidRPr="00A0525B">
        <w:rPr>
          <w:rFonts w:eastAsia="MS Mincho" w:cs="Times New Roman"/>
          <w:lang w:val="en-GB" w:eastAsia="de-DE"/>
        </w:rPr>
        <w:tab/>
      </w:r>
      <w:r w:rsidR="007F16CC" w:rsidRPr="00A0525B">
        <w:rPr>
          <w:rFonts w:eastAsia="MS Mincho" w:cs="Times New Roman"/>
          <w:lang w:val="en-GB" w:eastAsia="de-DE"/>
        </w:rPr>
        <w:tab/>
        <w:t>(3)</w:t>
      </w:r>
    </w:p>
    <w:p w:rsidR="007F16CC" w:rsidRPr="00A0525B" w:rsidRDefault="007F16CC" w:rsidP="007F16CC">
      <w:pPr>
        <w:spacing w:line="480" w:lineRule="auto"/>
        <w:rPr>
          <w:rFonts w:eastAsia="MS Mincho" w:cs="Times New Roman"/>
          <w:lang w:val="en-GB" w:eastAsia="de-DE"/>
        </w:rPr>
      </w:pPr>
      <w:r w:rsidRPr="00A0525B">
        <w:rPr>
          <w:rFonts w:eastAsia="MS Mincho" w:cs="Times New Roman"/>
          <w:lang w:val="en-GB" w:eastAsia="de-DE"/>
        </w:rPr>
        <w:t xml:space="preserve">We then compared differences in means and distributions of DTR and </w:t>
      </w:r>
      <w:r w:rsidRPr="00A0525B">
        <w:rPr>
          <w:rFonts w:eastAsia="MS Mincho" w:cs="Times New Roman"/>
          <w:vertAlign w:val="superscript"/>
          <w:lang w:val="en-GB" w:eastAsia="de-DE"/>
        </w:rPr>
        <w:t>1</w:t>
      </w:r>
      <m:oMath>
        <m:sSub>
          <m:sSubPr>
            <m:ctrlPr>
              <w:rPr>
                <w:rFonts w:ascii="Cambria Math" w:eastAsia="MS Mincho" w:hAnsi="Cambria Math" w:cs="Times New Roman"/>
                <w:i/>
                <w:lang w:val="en-GB" w:eastAsia="de-DE"/>
              </w:rPr>
            </m:ctrlPr>
          </m:sSubPr>
          <m:e>
            <m:r>
              <w:rPr>
                <w:rFonts w:ascii="Cambria Math" w:eastAsia="MS Mincho" w:hAnsi="Cambria Math" w:cs="Times New Roman"/>
                <w:lang w:val="en-GB" w:eastAsia="de-DE"/>
              </w:rPr>
              <m:t>D</m:t>
            </m:r>
          </m:e>
          <m:sub>
            <m:r>
              <w:rPr>
                <w:rFonts w:ascii="Cambria Math" w:eastAsia="MS Mincho" w:hAnsi="Cambria Math" w:cs="Times New Roman"/>
                <w:lang w:val="en-GB" w:eastAsia="de-DE"/>
              </w:rPr>
              <m:t>α</m:t>
            </m:r>
          </m:sub>
        </m:sSub>
      </m:oMath>
      <w:r w:rsidRPr="00A0525B">
        <w:rPr>
          <w:rFonts w:eastAsia="MS Mincho" w:cs="Times New Roman"/>
          <w:lang w:val="en-GB" w:eastAsia="de-DE"/>
        </w:rPr>
        <w:t xml:space="preserve">between management systems by means of one-way ANOVA and post-hoc Tukey test. </w:t>
      </w:r>
    </w:p>
    <w:p w:rsidR="00D56056" w:rsidRPr="0031370A" w:rsidRDefault="00D56056" w:rsidP="00D56056">
      <w:pPr>
        <w:rPr>
          <w:lang w:val="en-GB" w:eastAsia="en-GB"/>
        </w:rPr>
      </w:pPr>
    </w:p>
    <w:p w:rsidR="007F16CC" w:rsidRPr="00D56056" w:rsidRDefault="007F16CC">
      <w:pPr>
        <w:rPr>
          <w:lang w:val="en-GB"/>
        </w:rPr>
      </w:pPr>
    </w:p>
    <w:sectPr w:rsidR="007F16CC" w:rsidRPr="00D56056" w:rsidSect="00DA7DE1">
      <w:pgSz w:w="11900" w:h="16840"/>
      <w:pgMar w:top="1417" w:right="1417" w:bottom="1134" w:left="1417" w:header="708" w:footer="708" w:gutter="0"/>
      <w:lnNumType w:countBy="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056"/>
    <w:rsid w:val="00060179"/>
    <w:rsid w:val="00194DF1"/>
    <w:rsid w:val="007F16CC"/>
    <w:rsid w:val="00CD4139"/>
    <w:rsid w:val="00D56056"/>
    <w:rsid w:val="00D700F7"/>
    <w:rsid w:val="00D95C37"/>
    <w:rsid w:val="00DA7DE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40201"/>
  <w15:chartTrackingRefBased/>
  <w15:docId w15:val="{BD9B4771-AF73-49EE-8BC7-103798B3D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Normal"/>
    <w:qFormat/>
    <w:rsid w:val="00D56056"/>
    <w:pPr>
      <w:spacing w:line="360" w:lineRule="auto"/>
      <w:jc w:val="both"/>
    </w:pPr>
    <w:rPr>
      <w:rFonts w:ascii="Times New Roman" w:hAnsi="Times New Roman"/>
    </w:rPr>
  </w:style>
  <w:style w:type="paragraph" w:styleId="berschrift1">
    <w:name w:val="heading 1"/>
    <w:basedOn w:val="Standard"/>
    <w:next w:val="Standard"/>
    <w:link w:val="berschrift1Zchn"/>
    <w:uiPriority w:val="9"/>
    <w:qFormat/>
    <w:rsid w:val="00D56056"/>
    <w:pPr>
      <w:keepNext/>
      <w:keepLines/>
      <w:spacing w:before="240" w:after="0"/>
      <w:outlineLvl w:val="0"/>
    </w:pPr>
    <w:rPr>
      <w:rFonts w:eastAsiaTheme="majorEastAsia" w:cstheme="majorBidi"/>
      <w:b/>
      <w:color w:val="000000" w:themeColor="text1"/>
      <w:sz w:val="32"/>
      <w:szCs w:val="32"/>
    </w:rPr>
  </w:style>
  <w:style w:type="paragraph" w:styleId="berschrift2">
    <w:name w:val="heading 2"/>
    <w:basedOn w:val="Standard"/>
    <w:next w:val="Standard"/>
    <w:link w:val="berschrift2Zchn"/>
    <w:uiPriority w:val="9"/>
    <w:unhideWhenUsed/>
    <w:qFormat/>
    <w:rsid w:val="00D56056"/>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56056"/>
    <w:rPr>
      <w:rFonts w:ascii="Times New Roman" w:eastAsiaTheme="majorEastAsia" w:hAnsi="Times New Roman" w:cstheme="majorBidi"/>
      <w:b/>
      <w:color w:val="000000" w:themeColor="text1"/>
      <w:sz w:val="32"/>
      <w:szCs w:val="32"/>
    </w:rPr>
  </w:style>
  <w:style w:type="character" w:customStyle="1" w:styleId="berschrift2Zchn">
    <w:name w:val="Überschrift 2 Zchn"/>
    <w:basedOn w:val="Absatz-Standardschriftart"/>
    <w:link w:val="berschrift2"/>
    <w:uiPriority w:val="9"/>
    <w:rsid w:val="00D56056"/>
    <w:rPr>
      <w:rFonts w:asciiTheme="majorHAnsi" w:eastAsiaTheme="majorEastAsia" w:hAnsiTheme="majorHAnsi" w:cstheme="majorBidi"/>
      <w:b/>
      <w:bCs/>
      <w:color w:val="5B9BD5" w:themeColor="accent1"/>
      <w:sz w:val="26"/>
      <w:szCs w:val="26"/>
    </w:rPr>
  </w:style>
  <w:style w:type="paragraph" w:styleId="KeinLeerraum">
    <w:name w:val="No Spacing"/>
    <w:uiPriority w:val="1"/>
    <w:qFormat/>
    <w:rsid w:val="00D56056"/>
    <w:pPr>
      <w:spacing w:after="0" w:line="240" w:lineRule="auto"/>
      <w:jc w:val="both"/>
    </w:pPr>
    <w:rPr>
      <w:rFonts w:ascii="Times New Roman" w:hAnsi="Times New Roman"/>
    </w:rPr>
  </w:style>
  <w:style w:type="character" w:styleId="Zeilennummer">
    <w:name w:val="line number"/>
    <w:basedOn w:val="Absatz-Standardschriftart"/>
    <w:uiPriority w:val="99"/>
    <w:semiHidden/>
    <w:unhideWhenUsed/>
    <w:rsid w:val="00D56056"/>
  </w:style>
  <w:style w:type="character" w:styleId="Hyperlink">
    <w:name w:val="Hyperlink"/>
    <w:basedOn w:val="Absatz-Standardschriftart"/>
    <w:uiPriority w:val="99"/>
    <w:unhideWhenUsed/>
    <w:rsid w:val="00DA7DE1"/>
    <w:rPr>
      <w:color w:val="0563C1" w:themeColor="hyperlink"/>
      <w:u w:val="single"/>
    </w:rPr>
  </w:style>
  <w:style w:type="character" w:styleId="NichtaufgelsteErwhnung">
    <w:name w:val="Unresolved Mention"/>
    <w:basedOn w:val="Absatz-Standardschriftart"/>
    <w:uiPriority w:val="99"/>
    <w:semiHidden/>
    <w:unhideWhenUsed/>
    <w:rsid w:val="00DA7D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8431</Words>
  <Characters>53116</Characters>
  <Application>Microsoft Office Word</Application>
  <DocSecurity>0</DocSecurity>
  <Lines>442</Lines>
  <Paragraphs>122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Menge, Joscha Hendrik</dc:creator>
  <cp:keywords/>
  <dc:description/>
  <cp:lastModifiedBy>FORST Menge, Joscha Hendrik</cp:lastModifiedBy>
  <cp:revision>2</cp:revision>
  <dcterms:created xsi:type="dcterms:W3CDTF">2022-04-25T16:06:00Z</dcterms:created>
  <dcterms:modified xsi:type="dcterms:W3CDTF">2022-08-02T14:53:00Z</dcterms:modified>
</cp:coreProperties>
</file>