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88" w:rsidRDefault="004C2D88" w:rsidP="004C2D88">
      <w:pPr>
        <w:spacing w:after="200" w:line="276" w:lineRule="auto"/>
      </w:pPr>
      <w:r>
        <w:t>Supplementary online data</w:t>
      </w:r>
    </w:p>
    <w:p w:rsidR="00837FE5" w:rsidRPr="00837FE5" w:rsidRDefault="00837FE5" w:rsidP="00837FE5">
      <w:pPr>
        <w:spacing w:after="160" w:line="259" w:lineRule="auto"/>
      </w:pPr>
      <w:r w:rsidRPr="00837FE5">
        <w:t xml:space="preserve">Supplementary table 1: Sociodemographic and HIV disease status characteristics in those with and without HAND </w:t>
      </w:r>
    </w:p>
    <w:p w:rsidR="004C2D88" w:rsidRPr="004C2D88" w:rsidRDefault="004C2D88" w:rsidP="004C2D88">
      <w:pPr>
        <w:rPr>
          <w:rFonts w:cstheme="minorHAnsi"/>
          <w:color w:val="000000" w:themeColor="text1"/>
        </w:rPr>
      </w:pPr>
    </w:p>
    <w:tbl>
      <w:tblPr>
        <w:tblStyle w:val="GridTable6Colorful1"/>
        <w:tblW w:w="9533" w:type="dxa"/>
        <w:tblLook w:val="04A0" w:firstRow="1" w:lastRow="0" w:firstColumn="1" w:lastColumn="0" w:noHBand="0" w:noVBand="1"/>
      </w:tblPr>
      <w:tblGrid>
        <w:gridCol w:w="2641"/>
        <w:gridCol w:w="1758"/>
        <w:gridCol w:w="1758"/>
        <w:gridCol w:w="3376"/>
      </w:tblGrid>
      <w:tr w:rsidR="004C2D88" w:rsidRPr="003D34FB" w:rsidTr="00204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Variable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HAND (n=102)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No HAND (n=51)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Statistical comparison</w:t>
            </w:r>
            <w:r>
              <w:rPr>
                <w:rStyle w:val="FootnoteReference"/>
                <w:sz w:val="18"/>
                <w:szCs w:val="18"/>
              </w:rPr>
              <w:footnoteReference w:id="1"/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Median Age [years (IQR)]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55.5 (53.0-62.0)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58.0 (54.0-61.0)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U=2378.0, Z=-0.865, p=0.387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Females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69 (67.6)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34 (66.7)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=0.015, p=0.903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Highest educational attainment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76" w:type="dxa"/>
            <w:vMerge w:val="restart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=3.332, p=0.189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rFonts w:cstheme="minorHAnsi"/>
                <w:b w:val="0"/>
                <w:bCs w:val="0"/>
                <w:sz w:val="18"/>
                <w:szCs w:val="18"/>
              </w:rPr>
              <w:t>≤4 years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18 (17.6)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9 (17.6)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b w:val="0"/>
                <w:bCs w:val="0"/>
                <w:sz w:val="18"/>
                <w:szCs w:val="18"/>
              </w:rPr>
              <w:t>5-7 years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73 (71.6)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31 (60.8)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rFonts w:cs="Cambria Math"/>
                <w:b w:val="0"/>
                <w:bCs w:val="0"/>
                <w:sz w:val="18"/>
                <w:szCs w:val="18"/>
              </w:rPr>
              <w:t xml:space="preserve">&gt;7 </w:t>
            </w:r>
            <w:r w:rsidRPr="003D34FB">
              <w:rPr>
                <w:b w:val="0"/>
                <w:bCs w:val="0"/>
                <w:sz w:val="18"/>
                <w:szCs w:val="18"/>
              </w:rPr>
              <w:t>years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11 (10.8)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11 (21.6)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Median time since HIV diagnosis [years (IQR)]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11.0 (6.0-13.0)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11.0 (6.0-13.0)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2)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U=2423.0, Z=-0.208, p=0.836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Median nadir CD4 count [cells/mm</w:t>
            </w:r>
            <w:r w:rsidRPr="003D34FB">
              <w:rPr>
                <w:sz w:val="18"/>
                <w:szCs w:val="18"/>
                <w:vertAlign w:val="superscript"/>
              </w:rPr>
              <w:t>3</w:t>
            </w:r>
            <w:r w:rsidRPr="003D34FB">
              <w:rPr>
                <w:sz w:val="18"/>
                <w:szCs w:val="18"/>
              </w:rPr>
              <w:t xml:space="preserve"> (IQR)]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 xml:space="preserve">177.5 (103.8-271.3) 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209.0 (109.5-294.5)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U=2367.0, Z=-0.718, p=0.473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rFonts w:cs="Times New Roman"/>
                <w:sz w:val="18"/>
                <w:szCs w:val="18"/>
              </w:rPr>
              <w:t xml:space="preserve">Mean current CD4 count </w:t>
            </w:r>
            <w:r w:rsidRPr="003D34FB">
              <w:rPr>
                <w:sz w:val="18"/>
                <w:szCs w:val="18"/>
              </w:rPr>
              <w:t>± SD [cells/mm</w:t>
            </w:r>
            <w:r w:rsidRPr="003D34FB">
              <w:rPr>
                <w:sz w:val="18"/>
                <w:szCs w:val="18"/>
                <w:vertAlign w:val="superscript"/>
              </w:rPr>
              <w:t>3</w:t>
            </w:r>
            <w:r w:rsidRPr="003D34FB">
              <w:rPr>
                <w:sz w:val="18"/>
                <w:szCs w:val="18"/>
              </w:rPr>
              <w:t>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493.2 ± 268.4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15)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513.3 ± 274.6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8)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T=0.399, p=0.691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Undetectable viral load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71 (71.7)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3)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34 (68.0)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=0.221, p=0.639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WHO clinical stage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3376" w:type="dxa"/>
            <w:vMerge w:val="restart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=5.237, p=0.155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 (2.0)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 (2.0)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b w:val="0"/>
                <w:bCs w:val="0"/>
                <w:sz w:val="18"/>
                <w:szCs w:val="18"/>
              </w:rPr>
              <w:t>II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13 (12.9)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12 (24.0)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b w:val="0"/>
                <w:bCs w:val="0"/>
                <w:sz w:val="18"/>
                <w:szCs w:val="18"/>
              </w:rPr>
              <w:t>III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86 (85.1)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36 (72.0)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3D34FB">
              <w:rPr>
                <w:b w:val="0"/>
                <w:bCs w:val="0"/>
                <w:sz w:val="18"/>
                <w:szCs w:val="18"/>
              </w:rPr>
              <w:t>IV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0 (0.0)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 (2.0)</w:t>
            </w:r>
          </w:p>
        </w:tc>
        <w:tc>
          <w:tcPr>
            <w:tcW w:w="3376" w:type="dxa"/>
            <w:vMerge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</w:t>
            </w:r>
            <w:r w:rsidRPr="003D34FB">
              <w:rPr>
                <w:sz w:val="18"/>
                <w:szCs w:val="18"/>
                <w:vertAlign w:val="superscript"/>
              </w:rPr>
              <w:t>nd</w:t>
            </w:r>
            <w:r w:rsidRPr="003D34FB">
              <w:rPr>
                <w:sz w:val="18"/>
                <w:szCs w:val="18"/>
              </w:rPr>
              <w:t xml:space="preserve"> line cART regimen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20 (19.8)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1)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 xml:space="preserve">15 (29.4) 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=1.766, p=0.184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History CNS infection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 (2.0)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3)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2 (3.9)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P=0.605 (</w:t>
            </w:r>
            <w:r w:rsidR="003617D6">
              <w:rPr>
                <w:sz w:val="18"/>
                <w:szCs w:val="18"/>
              </w:rPr>
              <w:t>Fisher’s</w:t>
            </w:r>
            <w:r w:rsidRPr="003D34FB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History TB infection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17 (17.0)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2)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7 (14.3)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2)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=0.179,  p=0.814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Positive hepatitis B serology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4 (4.2)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7)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 xml:space="preserve">2 (4.3) ( 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4)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P=1.000 (</w:t>
            </w:r>
            <w:r w:rsidR="003617D6">
              <w:rPr>
                <w:sz w:val="18"/>
                <w:szCs w:val="18"/>
              </w:rPr>
              <w:t>Fisher’s</w:t>
            </w:r>
            <w:r w:rsidRPr="003D34FB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3D34FB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Positive hepatitis C serology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 (1.1)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7)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0 (0.0)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4)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P=1.000 (</w:t>
            </w:r>
            <w:r w:rsidR="003617D6">
              <w:rPr>
                <w:sz w:val="18"/>
                <w:szCs w:val="18"/>
              </w:rPr>
              <w:t>Fisher’s</w:t>
            </w:r>
            <w:r w:rsidRPr="003D34FB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3D34FB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Positive syphilis VDLR [n (%)]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15 (16.0)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8)</w:t>
            </w:r>
          </w:p>
        </w:tc>
        <w:tc>
          <w:tcPr>
            <w:tcW w:w="1758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8 (17.0) (</w:t>
            </w:r>
            <w:r>
              <w:rPr>
                <w:sz w:val="18"/>
                <w:szCs w:val="18"/>
              </w:rPr>
              <w:t>m=</w:t>
            </w:r>
            <w:r w:rsidRPr="003D34FB">
              <w:rPr>
                <w:sz w:val="18"/>
                <w:szCs w:val="18"/>
              </w:rPr>
              <w:t>4)</w:t>
            </w:r>
          </w:p>
        </w:tc>
        <w:tc>
          <w:tcPr>
            <w:tcW w:w="3376" w:type="dxa"/>
            <w:shd w:val="clear" w:color="auto" w:fill="auto"/>
          </w:tcPr>
          <w:p w:rsidR="004C2D88" w:rsidRPr="003D34FB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34FB">
              <w:rPr>
                <w:sz w:val="18"/>
                <w:szCs w:val="18"/>
              </w:rPr>
              <w:t>X</w:t>
            </w:r>
            <w:r w:rsidRPr="003D34FB">
              <w:rPr>
                <w:sz w:val="18"/>
                <w:szCs w:val="18"/>
                <w:vertAlign w:val="superscript"/>
              </w:rPr>
              <w:t>2</w:t>
            </w:r>
            <w:r w:rsidRPr="003D34FB">
              <w:rPr>
                <w:sz w:val="18"/>
                <w:szCs w:val="18"/>
              </w:rPr>
              <w:t>=0.026, p=0.872</w:t>
            </w:r>
          </w:p>
        </w:tc>
      </w:tr>
    </w:tbl>
    <w:p w:rsidR="004C2D88" w:rsidRDefault="004C2D88" w:rsidP="004C2D88">
      <w:pPr>
        <w:pStyle w:val="NoSpacing"/>
        <w:spacing w:line="480" w:lineRule="auto"/>
        <w:rPr>
          <w:rFonts w:cstheme="minorHAnsi"/>
        </w:rPr>
      </w:pPr>
      <w:r>
        <w:rPr>
          <w:rStyle w:val="FootnoteReference"/>
        </w:rPr>
        <w:footnoteRef/>
      </w:r>
      <w:r>
        <w:t xml:space="preserve"> Statistical tests used: Mann-Whitney U, Pearson-chi squared, </w:t>
      </w:r>
      <w:r w:rsidR="003617D6">
        <w:t>Fisher’s</w:t>
      </w:r>
      <w:r>
        <w:t xml:space="preserve"> exact test, T-test</w:t>
      </w:r>
    </w:p>
    <w:p w:rsidR="00837FE5" w:rsidRDefault="004C2D88">
      <w:pPr>
        <w:spacing w:after="160" w:line="259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:rsidR="004C2D88" w:rsidRDefault="004C2D88" w:rsidP="004C2D88">
      <w:pPr>
        <w:spacing w:after="160" w:line="259" w:lineRule="auto"/>
      </w:pPr>
      <w:r>
        <w:lastRenderedPageBreak/>
        <w:t>Supplementary data tables 2 sociodemographic, HIV disease severity, vascular risk factors and cardiovascular end organ damage markers in individuals with and without symptomatic HAND</w:t>
      </w:r>
    </w:p>
    <w:tbl>
      <w:tblPr>
        <w:tblStyle w:val="GridTable6Colorful1"/>
        <w:tblpPr w:leftFromText="180" w:rightFromText="180" w:vertAnchor="text" w:horzAnchor="margin" w:tblpY="170"/>
        <w:tblW w:w="9067" w:type="dxa"/>
        <w:tblLook w:val="04A0" w:firstRow="1" w:lastRow="0" w:firstColumn="1" w:lastColumn="0" w:noHBand="0" w:noVBand="1"/>
      </w:tblPr>
      <w:tblGrid>
        <w:gridCol w:w="2689"/>
        <w:gridCol w:w="2126"/>
        <w:gridCol w:w="1843"/>
        <w:gridCol w:w="2409"/>
      </w:tblGrid>
      <w:tr w:rsidR="004C2D88" w:rsidRPr="00B6234F" w:rsidTr="00204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Variable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Symptomatic HAND (n=39)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No symptomatic HAND (n=114)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Statistical comparison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Median Age [years (IQR)]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57.0 (52.0-68.0)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56.0 (53.0-61.0)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U=2414.0, Z=0.801, p=0.423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Females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29 (74.4)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74 (64.9)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=1.179, p=0.278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Highest education grade [n (%)]</w:t>
            </w:r>
          </w:p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≤4 years</w:t>
            </w:r>
          </w:p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5-7 years</w:t>
            </w:r>
          </w:p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More than 7 years</w:t>
            </w:r>
          </w:p>
        </w:tc>
        <w:tc>
          <w:tcPr>
            <w:tcW w:w="2126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10 (25.6)</w:t>
            </w: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23 (59.0)</w:t>
            </w: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6 (15.4)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17 (14.9)</w:t>
            </w: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81 (71.1)</w:t>
            </w:r>
          </w:p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16 (14.0)</w:t>
            </w:r>
          </w:p>
        </w:tc>
        <w:tc>
          <w:tcPr>
            <w:tcW w:w="2409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=2.556, p=0.279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Median time since HIV diagnosis [years (IQR)]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9.5 (6.0-12.0) (</w:t>
            </w:r>
            <w:r>
              <w:rPr>
                <w:rFonts w:cstheme="minorHAnsi"/>
                <w:sz w:val="18"/>
                <w:szCs w:val="18"/>
              </w:rPr>
              <w:t>m=1)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11.0 (6.0-13.0) (</w:t>
            </w:r>
            <w:r>
              <w:rPr>
                <w:rFonts w:cstheme="minorHAnsi"/>
                <w:sz w:val="18"/>
                <w:szCs w:val="18"/>
              </w:rPr>
              <w:t>m=2)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U=1985.5, Z=-0.619, p=0.536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Median nadir CD4 count [cells/mm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Pr="0020448B">
              <w:rPr>
                <w:rFonts w:cstheme="minorHAnsi"/>
                <w:sz w:val="18"/>
                <w:szCs w:val="18"/>
              </w:rPr>
              <w:t xml:space="preserve"> (IQR)]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207.0 (112.0-395.0)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170.0 (104.5-268.0) (</w:t>
            </w:r>
            <w:r>
              <w:rPr>
                <w:rFonts w:cstheme="minorHAnsi"/>
                <w:sz w:val="18"/>
                <w:szCs w:val="18"/>
              </w:rPr>
              <w:t>m=1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U=2509.0, Z=1.289, p=0.197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Mean current CD4 count ± SD [cells/mm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Pr="0020448B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584.0 ± 264.7 (</w:t>
            </w:r>
            <w:r>
              <w:rPr>
                <w:rFonts w:cstheme="minorHAnsi"/>
                <w:sz w:val="18"/>
                <w:szCs w:val="18"/>
              </w:rPr>
              <w:t>m=9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474.6 ± 267.2 (</w:t>
            </w:r>
            <w:r>
              <w:rPr>
                <w:rFonts w:cstheme="minorHAnsi"/>
                <w:sz w:val="18"/>
                <w:szCs w:val="18"/>
              </w:rPr>
              <w:t>m=14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t=-1.971, p=0.051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Undetectable viral load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25 (65.8) (</w:t>
            </w:r>
            <w:r>
              <w:rPr>
                <w:rFonts w:cstheme="minorHAnsi"/>
                <w:sz w:val="18"/>
                <w:szCs w:val="18"/>
              </w:rPr>
              <w:t>m=1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80 (72.1) (</w:t>
            </w:r>
            <w:r>
              <w:rPr>
                <w:rFonts w:cstheme="minorHAnsi"/>
                <w:sz w:val="18"/>
                <w:szCs w:val="18"/>
              </w:rPr>
              <w:t>m=3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=0.537, p=0.464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WHO clinical stage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m=2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U=2112.5, Z=-0.444, p=0.657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 (2.6)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 (1.8)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 (12.8)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20 (17.9)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33 (84.6)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89 (79.5)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0 (0.0)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 (0.9)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nd</w:t>
            </w:r>
            <w:r w:rsidRPr="0020448B">
              <w:rPr>
                <w:rFonts w:cstheme="minorHAnsi"/>
                <w:sz w:val="18"/>
                <w:szCs w:val="18"/>
              </w:rPr>
              <w:t xml:space="preserve"> line cART regimen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10 (25.6)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25 (22.1) (</w:t>
            </w:r>
            <w:r>
              <w:rPr>
                <w:rFonts w:cstheme="minorHAnsi"/>
                <w:sz w:val="18"/>
                <w:szCs w:val="18"/>
              </w:rPr>
              <w:t>m=1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=0.202, p=0.653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History CNS infection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 (2.6) (</w:t>
            </w:r>
            <w:r>
              <w:rPr>
                <w:rFonts w:cstheme="minorHAnsi"/>
                <w:sz w:val="18"/>
                <w:szCs w:val="18"/>
              </w:rPr>
              <w:t>m=1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3 (2.7) (</w:t>
            </w:r>
            <w:r>
              <w:rPr>
                <w:rFonts w:cstheme="minorHAnsi"/>
                <w:sz w:val="18"/>
                <w:szCs w:val="18"/>
              </w:rPr>
              <w:t>m=2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P=1.000 (</w:t>
            </w:r>
            <w:r w:rsidR="003617D6">
              <w:rPr>
                <w:rFonts w:cstheme="minorHAnsi"/>
                <w:sz w:val="18"/>
                <w:szCs w:val="18"/>
              </w:rPr>
              <w:t>Fisher’s</w:t>
            </w:r>
            <w:r w:rsidRPr="0020448B">
              <w:rPr>
                <w:rFonts w:cstheme="minorHAnsi"/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History TB infection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 xml:space="preserve">8 (20.5) 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16 (14.5) (</w:t>
            </w:r>
            <w:r>
              <w:rPr>
                <w:rFonts w:cstheme="minorHAnsi"/>
                <w:sz w:val="18"/>
                <w:szCs w:val="18"/>
              </w:rPr>
              <w:t>m=3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=0.759, p=0.384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Positive hepatitis B serology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 (2.7) (</w:t>
            </w:r>
            <w:r>
              <w:rPr>
                <w:rFonts w:cstheme="minorHAnsi"/>
                <w:sz w:val="18"/>
                <w:szCs w:val="18"/>
              </w:rPr>
              <w:t>m=2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5 (4.8) (</w:t>
            </w:r>
            <w:r>
              <w:rPr>
                <w:rFonts w:cstheme="minorHAnsi"/>
                <w:sz w:val="18"/>
                <w:szCs w:val="18"/>
              </w:rPr>
              <w:t>m=9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P=1.000 (</w:t>
            </w:r>
            <w:r w:rsidR="003617D6">
              <w:rPr>
                <w:rFonts w:cstheme="minorHAnsi"/>
                <w:sz w:val="18"/>
                <w:szCs w:val="18"/>
              </w:rPr>
              <w:t>Fisher’s</w:t>
            </w:r>
            <w:r w:rsidRPr="0020448B">
              <w:rPr>
                <w:rFonts w:cstheme="minorHAnsi"/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Positive hepatitis C serology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2 (5.1)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 (1.0) (</w:t>
            </w:r>
            <w:r>
              <w:rPr>
                <w:rFonts w:cstheme="minorHAnsi"/>
                <w:sz w:val="18"/>
                <w:szCs w:val="18"/>
              </w:rPr>
              <w:t>m=9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2554A2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P=1.000 (</w:t>
            </w:r>
            <w:r w:rsidR="003617D6">
              <w:rPr>
                <w:rFonts w:cstheme="minorHAnsi"/>
                <w:sz w:val="18"/>
                <w:szCs w:val="18"/>
              </w:rPr>
              <w:t>Fisher’s</w:t>
            </w:r>
            <w:r w:rsidR="004C2D88" w:rsidRPr="0020448B">
              <w:rPr>
                <w:rFonts w:cstheme="minorHAnsi"/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Positive syphilis VDLR [n (%)]</w:t>
            </w:r>
          </w:p>
        </w:tc>
        <w:tc>
          <w:tcPr>
            <w:tcW w:w="2126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9 (25.0) (</w:t>
            </w:r>
            <w:r>
              <w:rPr>
                <w:rFonts w:cstheme="minorHAnsi"/>
                <w:sz w:val="18"/>
                <w:szCs w:val="18"/>
              </w:rPr>
              <w:t>m=3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14 (13.3) (</w:t>
            </w:r>
            <w:r>
              <w:rPr>
                <w:rFonts w:cstheme="minorHAnsi"/>
                <w:sz w:val="18"/>
                <w:szCs w:val="18"/>
              </w:rPr>
              <w:t>m=9</w:t>
            </w:r>
            <w:r w:rsidRPr="0020448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4C2D88" w:rsidRPr="00042702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0448B">
              <w:rPr>
                <w:rFonts w:cstheme="minorHAnsi"/>
                <w:sz w:val="18"/>
                <w:szCs w:val="18"/>
              </w:rPr>
              <w:t>X</w:t>
            </w:r>
            <w:r w:rsidRPr="0020448B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0448B">
              <w:rPr>
                <w:rFonts w:cstheme="minorHAnsi"/>
                <w:sz w:val="18"/>
                <w:szCs w:val="18"/>
              </w:rPr>
              <w:t>=2.673, p=0.102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A6A6A6" w:themeFill="background1" w:themeFillShade="A6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Vascular risk factors (VRFs)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b w:val="0"/>
                <w:bCs w:val="0"/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Median BMI [kg/m</w:t>
            </w:r>
            <w:r w:rsidRPr="00B6234F">
              <w:rPr>
                <w:sz w:val="18"/>
                <w:szCs w:val="18"/>
                <w:vertAlign w:val="superscript"/>
              </w:rPr>
              <w:t xml:space="preserve">2 </w:t>
            </w:r>
            <w:r w:rsidRPr="00B6234F">
              <w:rPr>
                <w:sz w:val="18"/>
                <w:szCs w:val="18"/>
              </w:rPr>
              <w:t>(IQR)]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21.5 (19.3-25.5) 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22.9 (20.2-27.1)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U=1834.0, Z=-1/629, p=0.103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Obesity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2 (5.1)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14 (12.3)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p=0.362 (</w:t>
            </w:r>
            <w:r w:rsidR="003617D6">
              <w:rPr>
                <w:sz w:val="18"/>
                <w:szCs w:val="18"/>
              </w:rPr>
              <w:t>Fisher’s</w:t>
            </w:r>
            <w:r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Mean WHR ± SD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0.86 ± 0.07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0.88 ± 0.09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4)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T=0.772, p=0.442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Abdominal obesity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22 (57.9)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59 (53.6)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4)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=2.07, p=0.649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Mean systolic BP ± SD (mmHg)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131.7 ± 26.9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134.7 ± 27.5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T=0.595, p=0.553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Mean diastolic BP ± SD (mmHg)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77.3 ± 11.9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81.9 ± 12.3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T=0.950, p=0.046**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Hypertension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13 (33.3)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39 (34.2) 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=0.1, p=0.92</w:t>
            </w:r>
            <w:r w:rsidR="002554A2">
              <w:rPr>
                <w:sz w:val="18"/>
                <w:szCs w:val="18"/>
              </w:rPr>
              <w:t>1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Diabetes mellitus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 (10.5)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 (3.6)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2)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=2.718, p=0.099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Smoker (current/previous)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10 (25.6)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30 (26.3)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=0007, p=0.934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Currently drinks alcohol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12 (66.7)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21)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45 (51.7)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27)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=1.342, p=0.247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Mean serum cholesterol ± SD [mmol/L]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4.3 ± 0.9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4.9 ± 1.3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T=2.342, p=0.021**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Hypercholesterolaemia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10 (26.3)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37 (32.5) 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X</w:t>
            </w:r>
            <w:r w:rsidRPr="00B6234F">
              <w:rPr>
                <w:sz w:val="18"/>
                <w:szCs w:val="18"/>
                <w:vertAlign w:val="superscript"/>
              </w:rPr>
              <w:t>2</w:t>
            </w:r>
            <w:r w:rsidRPr="00B6234F">
              <w:rPr>
                <w:sz w:val="18"/>
                <w:szCs w:val="18"/>
              </w:rPr>
              <w:t>=1.153, p=0.283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A6A6A6" w:themeFill="background1" w:themeFillShade="A6"/>
          </w:tcPr>
          <w:p w:rsidR="004C2D88" w:rsidRPr="00145EEF" w:rsidRDefault="004C2D88" w:rsidP="0020448B">
            <w:pPr>
              <w:pStyle w:val="NoSpacing"/>
              <w:keepNext/>
              <w:contextualSpacing/>
              <w:jc w:val="center"/>
              <w:rPr>
                <w:sz w:val="18"/>
                <w:szCs w:val="18"/>
              </w:rPr>
            </w:pPr>
            <w:r w:rsidRPr="00145EEF">
              <w:rPr>
                <w:sz w:val="18"/>
                <w:szCs w:val="18"/>
              </w:rPr>
              <w:t>Vascular end organ damage (EOD)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Previous stroke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2 (5.1)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6 (5.3)</w:t>
            </w:r>
          </w:p>
        </w:tc>
        <w:tc>
          <w:tcPr>
            <w:tcW w:w="2409" w:type="dxa"/>
            <w:shd w:val="clear" w:color="auto" w:fill="auto"/>
          </w:tcPr>
          <w:p w:rsidR="004C2D88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P=1.000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Prior MI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 (2.6) 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 (0.09)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3)</w:t>
            </w:r>
          </w:p>
        </w:tc>
        <w:tc>
          <w:tcPr>
            <w:tcW w:w="2409" w:type="dxa"/>
            <w:shd w:val="clear" w:color="auto" w:fill="auto"/>
          </w:tcPr>
          <w:p w:rsidR="004C2D88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P=0.454 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LVH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3 (7.7) 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16 (14.2)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2409" w:type="dxa"/>
            <w:shd w:val="clear" w:color="auto" w:fill="auto"/>
          </w:tcPr>
          <w:p w:rsidR="004C2D88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P=0.404 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Proteinuria [n (%)]</w:t>
            </w:r>
          </w:p>
        </w:tc>
        <w:tc>
          <w:tcPr>
            <w:tcW w:w="2126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2 (5.3)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3 (2.6) </w:t>
            </w:r>
          </w:p>
        </w:tc>
        <w:tc>
          <w:tcPr>
            <w:tcW w:w="2409" w:type="dxa"/>
            <w:shd w:val="clear" w:color="auto" w:fill="auto"/>
          </w:tcPr>
          <w:p w:rsidR="004C2D88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P=0.599 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CKD [n (%)]</w:t>
            </w:r>
          </w:p>
        </w:tc>
        <w:tc>
          <w:tcPr>
            <w:tcW w:w="2126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4 (10.5)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4 (3.9)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11)</w:t>
            </w:r>
          </w:p>
        </w:tc>
        <w:tc>
          <w:tcPr>
            <w:tcW w:w="2409" w:type="dxa"/>
            <w:shd w:val="clear" w:color="auto" w:fill="auto"/>
          </w:tcPr>
          <w:p w:rsidR="004C2D88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P=0.211 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Median creatinine [</w:t>
            </w:r>
            <w:r w:rsidRPr="00B6234F">
              <w:rPr>
                <w:rFonts w:ascii="Cambria Math" w:hAnsi="Cambria Math" w:cs="Cambria Math"/>
                <w:sz w:val="18"/>
                <w:szCs w:val="18"/>
              </w:rPr>
              <w:t>umol/L (IQR)]</w:t>
            </w:r>
          </w:p>
        </w:tc>
        <w:tc>
          <w:tcPr>
            <w:tcW w:w="2126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66.0 (56.5-80.0)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1)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66.0 (56.0-76.0)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11)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U=1996.5, Z=0.184, p=0.854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lastRenderedPageBreak/>
              <w:t xml:space="preserve">Mean ABPI </w:t>
            </w:r>
            <w:r w:rsidRPr="00B6234F">
              <w:rPr>
                <w:rFonts w:ascii="Calibri" w:hAnsi="Calibri"/>
                <w:sz w:val="18"/>
                <w:szCs w:val="18"/>
              </w:rPr>
              <w:t>± SD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1.08 </w:t>
            </w:r>
            <w:r w:rsidRPr="00B6234F">
              <w:rPr>
                <w:rFonts w:ascii="Calibri" w:hAnsi="Calibri"/>
                <w:sz w:val="18"/>
                <w:szCs w:val="18"/>
              </w:rPr>
              <w:t>± 0.10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1.08 </w:t>
            </w:r>
            <w:r w:rsidRPr="00B6234F">
              <w:rPr>
                <w:rFonts w:ascii="Calibri" w:hAnsi="Calibri"/>
                <w:sz w:val="18"/>
                <w:szCs w:val="18"/>
              </w:rPr>
              <w:t xml:space="preserve">± 0.18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m=</w:t>
            </w:r>
            <w:r w:rsidRPr="00B6234F">
              <w:rPr>
                <w:rFonts w:ascii="Calibri" w:hAnsi="Calibri"/>
                <w:sz w:val="18"/>
                <w:szCs w:val="18"/>
              </w:rPr>
              <w:t>3)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T=0.102, p=0.919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PAD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1 (2.6)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4 (3.6)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3)</w:t>
            </w:r>
          </w:p>
        </w:tc>
        <w:tc>
          <w:tcPr>
            <w:tcW w:w="2409" w:type="dxa"/>
            <w:shd w:val="clear" w:color="auto" w:fill="auto"/>
          </w:tcPr>
          <w:p w:rsidR="004C2D88" w:rsidRDefault="002554A2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P=1.000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Arterial stiffening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1 (2.6) 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 xml:space="preserve">5 (4.5)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m=</w:t>
            </w:r>
            <w:r w:rsidRPr="00B6234F">
              <w:rPr>
                <w:sz w:val="18"/>
                <w:szCs w:val="18"/>
              </w:rPr>
              <w:t>3)</w:t>
            </w:r>
          </w:p>
        </w:tc>
        <w:tc>
          <w:tcPr>
            <w:tcW w:w="2409" w:type="dxa"/>
            <w:shd w:val="clear" w:color="auto" w:fill="auto"/>
          </w:tcPr>
          <w:p w:rsidR="004C2D88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P=1.000</w:t>
            </w:r>
          </w:p>
          <w:p w:rsidR="004C2D88" w:rsidRPr="00B6234F" w:rsidRDefault="002554A2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617D6">
              <w:rPr>
                <w:sz w:val="18"/>
                <w:szCs w:val="18"/>
              </w:rPr>
              <w:t>Fisher’s</w:t>
            </w:r>
            <w:r w:rsidR="004C2D88" w:rsidRPr="00B6234F">
              <w:rPr>
                <w:sz w:val="18"/>
                <w:szCs w:val="18"/>
              </w:rPr>
              <w:t xml:space="preserve"> exact test)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Median pulse pressure [mmHg (IQR)]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46.0 (41.0-66.0)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49.0 (38.8-62.0)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U=2315.0, Z=0.385, p=0.700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Mean AVR ± SD</w:t>
            </w:r>
          </w:p>
        </w:tc>
        <w:tc>
          <w:tcPr>
            <w:tcW w:w="2126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B6234F">
              <w:rPr>
                <w:rFonts w:ascii="Calibri" w:hAnsi="Calibri"/>
                <w:sz w:val="18"/>
                <w:szCs w:val="18"/>
              </w:rPr>
              <w:t xml:space="preserve">0.75 ± 0.09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m=</w:t>
            </w:r>
            <w:r w:rsidRPr="00B6234F">
              <w:rPr>
                <w:rFonts w:ascii="Calibri" w:hAnsi="Calibri"/>
                <w:sz w:val="18"/>
                <w:szCs w:val="18"/>
              </w:rPr>
              <w:t>14)</w:t>
            </w:r>
          </w:p>
        </w:tc>
        <w:tc>
          <w:tcPr>
            <w:tcW w:w="1843" w:type="dxa"/>
            <w:shd w:val="clear" w:color="auto" w:fill="auto"/>
          </w:tcPr>
          <w:p w:rsidR="004C2D88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8"/>
                <w:szCs w:val="18"/>
              </w:rPr>
            </w:pPr>
            <w:r w:rsidRPr="00B6234F">
              <w:rPr>
                <w:rFonts w:ascii="Calibri" w:hAnsi="Calibri"/>
                <w:sz w:val="18"/>
                <w:szCs w:val="18"/>
              </w:rPr>
              <w:t xml:space="preserve">0.75 ± 0.08 </w:t>
            </w:r>
          </w:p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m=</w:t>
            </w:r>
            <w:r w:rsidRPr="00B6234F">
              <w:rPr>
                <w:rFonts w:ascii="Calibri" w:hAnsi="Calibri"/>
                <w:sz w:val="18"/>
                <w:szCs w:val="18"/>
              </w:rPr>
              <w:t>18)</w:t>
            </w:r>
          </w:p>
        </w:tc>
        <w:tc>
          <w:tcPr>
            <w:tcW w:w="240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sz w:val="18"/>
                <w:szCs w:val="18"/>
              </w:rPr>
              <w:t>T=-0.342, p=0.747</w:t>
            </w: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WMD rating [n (%)]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(m=21)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(m=42)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34F">
              <w:rPr>
                <w:rFonts w:cstheme="minorHAnsi"/>
                <w:sz w:val="18"/>
                <w:szCs w:val="18"/>
              </w:rPr>
              <w:t>U=548.5, Z=-1.079, p=0.281</w:t>
            </w: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 (33.3)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33 (45.8)</w:t>
            </w:r>
          </w:p>
        </w:tc>
        <w:tc>
          <w:tcPr>
            <w:tcW w:w="2409" w:type="dxa"/>
            <w:vMerge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Mild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 (22.2)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 (19.4)</w:t>
            </w:r>
          </w:p>
        </w:tc>
        <w:tc>
          <w:tcPr>
            <w:tcW w:w="2409" w:type="dxa"/>
            <w:vMerge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B6234F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 (38.9)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25 (34.7)</w:t>
            </w:r>
          </w:p>
        </w:tc>
        <w:tc>
          <w:tcPr>
            <w:tcW w:w="2409" w:type="dxa"/>
            <w:vMerge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C2D88" w:rsidRPr="00B6234F" w:rsidTr="0020448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Severe</w:t>
            </w:r>
          </w:p>
        </w:tc>
        <w:tc>
          <w:tcPr>
            <w:tcW w:w="2126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 (5.6)</w:t>
            </w:r>
          </w:p>
        </w:tc>
        <w:tc>
          <w:tcPr>
            <w:tcW w:w="1843" w:type="dxa"/>
            <w:shd w:val="clear" w:color="auto" w:fill="auto"/>
          </w:tcPr>
          <w:p w:rsidR="004C2D88" w:rsidRPr="00B6234F" w:rsidRDefault="004C2D88" w:rsidP="0020448B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 (0.0)</w:t>
            </w:r>
          </w:p>
        </w:tc>
        <w:tc>
          <w:tcPr>
            <w:tcW w:w="2409" w:type="dxa"/>
            <w:vMerge/>
            <w:shd w:val="clear" w:color="auto" w:fill="auto"/>
          </w:tcPr>
          <w:p w:rsidR="004C2D88" w:rsidRPr="00B6234F" w:rsidRDefault="004C2D88" w:rsidP="0020448B">
            <w:pPr>
              <w:pStyle w:val="NoSpacing"/>
              <w:keepNext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4C2D88" w:rsidRDefault="004C2D88" w:rsidP="004C2D88">
      <w:pPr>
        <w:spacing w:line="480" w:lineRule="auto"/>
        <w:rPr>
          <w:rFonts w:cstheme="minorHAnsi"/>
        </w:rPr>
      </w:pPr>
      <w:r>
        <w:rPr>
          <w:rFonts w:cstheme="minorHAnsi"/>
        </w:rPr>
        <w:t>** significant findings</w:t>
      </w:r>
    </w:p>
    <w:p w:rsidR="002554A2" w:rsidRDefault="00837FE5" w:rsidP="00837FE5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  <w:bookmarkStart w:id="0" w:name="_GoBack"/>
      <w:bookmarkEnd w:id="0"/>
      <w:r>
        <w:rPr>
          <w:rFonts w:cstheme="minorHAnsi"/>
        </w:rPr>
        <w:t>Supplementary Data 3 and 4. Multivariable models for primary and secondary outcome</w:t>
      </w:r>
    </w:p>
    <w:p w:rsidR="00E82A38" w:rsidRDefault="00E82A38" w:rsidP="004C2D88">
      <w:pPr>
        <w:spacing w:line="480" w:lineRule="auto"/>
        <w:rPr>
          <w:rFonts w:cstheme="minorHAnsi"/>
        </w:rPr>
      </w:pPr>
      <w:r>
        <w:rPr>
          <w:rFonts w:cstheme="minorHAnsi"/>
        </w:rPr>
        <w:t>Multivariable Model HAND vs no HAND</w:t>
      </w:r>
      <w:r w:rsidR="002554A2">
        <w:rPr>
          <w:rFonts w:cstheme="minorHAnsi"/>
        </w:rPr>
        <w:t xml:space="preserve"> (primary outcome)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886"/>
        <w:gridCol w:w="902"/>
        <w:gridCol w:w="946"/>
        <w:gridCol w:w="897"/>
        <w:gridCol w:w="910"/>
        <w:gridCol w:w="867"/>
        <w:gridCol w:w="868"/>
        <w:gridCol w:w="868"/>
      </w:tblGrid>
      <w:tr w:rsidR="00837FE5" w:rsidTr="00E82A38">
        <w:tc>
          <w:tcPr>
            <w:tcW w:w="1000" w:type="dxa"/>
          </w:tcPr>
          <w:p w:rsidR="00837FE5" w:rsidRDefault="00837FE5" w:rsidP="0020448B">
            <w:pPr>
              <w:spacing w:after="200" w:line="276" w:lineRule="auto"/>
            </w:pPr>
          </w:p>
        </w:tc>
        <w:tc>
          <w:tcPr>
            <w:tcW w:w="88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902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SE</w:t>
            </w:r>
          </w:p>
        </w:tc>
        <w:tc>
          <w:tcPr>
            <w:tcW w:w="94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Wald</w:t>
            </w:r>
          </w:p>
        </w:tc>
        <w:tc>
          <w:tcPr>
            <w:tcW w:w="89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df</w:t>
            </w:r>
          </w:p>
        </w:tc>
        <w:tc>
          <w:tcPr>
            <w:tcW w:w="910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Sig</w:t>
            </w:r>
          </w:p>
        </w:tc>
        <w:tc>
          <w:tcPr>
            <w:tcW w:w="86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Exp (B)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Lower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Upper</w:t>
            </w:r>
          </w:p>
        </w:tc>
      </w:tr>
      <w:tr w:rsidR="00837FE5" w:rsidTr="00E82A38">
        <w:tc>
          <w:tcPr>
            <w:tcW w:w="1000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8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-0.83</w:t>
            </w:r>
          </w:p>
        </w:tc>
        <w:tc>
          <w:tcPr>
            <w:tcW w:w="902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0.374</w:t>
            </w:r>
          </w:p>
        </w:tc>
        <w:tc>
          <w:tcPr>
            <w:tcW w:w="94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0.050</w:t>
            </w:r>
          </w:p>
        </w:tc>
        <w:tc>
          <w:tcPr>
            <w:tcW w:w="89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0.824</w:t>
            </w:r>
          </w:p>
        </w:tc>
        <w:tc>
          <w:tcPr>
            <w:tcW w:w="86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0.920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0.442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1.915</w:t>
            </w:r>
          </w:p>
        </w:tc>
      </w:tr>
      <w:tr w:rsidR="00837FE5" w:rsidTr="00E82A38">
        <w:tc>
          <w:tcPr>
            <w:tcW w:w="1000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age</w:t>
            </w:r>
          </w:p>
        </w:tc>
        <w:tc>
          <w:tcPr>
            <w:tcW w:w="88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-0.02</w:t>
            </w:r>
          </w:p>
        </w:tc>
        <w:tc>
          <w:tcPr>
            <w:tcW w:w="902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0.028</w:t>
            </w:r>
          </w:p>
        </w:tc>
        <w:tc>
          <w:tcPr>
            <w:tcW w:w="94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0.006</w:t>
            </w:r>
          </w:p>
        </w:tc>
        <w:tc>
          <w:tcPr>
            <w:tcW w:w="89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0.939</w:t>
            </w:r>
          </w:p>
        </w:tc>
        <w:tc>
          <w:tcPr>
            <w:tcW w:w="86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0.998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0.945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1.053</w:t>
            </w:r>
          </w:p>
        </w:tc>
      </w:tr>
      <w:tr w:rsidR="00837FE5" w:rsidTr="00E82A38">
        <w:tc>
          <w:tcPr>
            <w:tcW w:w="1000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Diastolic BP</w:t>
            </w:r>
          </w:p>
        </w:tc>
        <w:tc>
          <w:tcPr>
            <w:tcW w:w="88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-0.031</w:t>
            </w:r>
          </w:p>
        </w:tc>
        <w:tc>
          <w:tcPr>
            <w:tcW w:w="902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.014</w:t>
            </w:r>
          </w:p>
        </w:tc>
        <w:tc>
          <w:tcPr>
            <w:tcW w:w="94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4.722</w:t>
            </w:r>
          </w:p>
        </w:tc>
        <w:tc>
          <w:tcPr>
            <w:tcW w:w="89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10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0.030</w:t>
            </w:r>
          </w:p>
        </w:tc>
        <w:tc>
          <w:tcPr>
            <w:tcW w:w="86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0.969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0.943</w:t>
            </w:r>
          </w:p>
        </w:tc>
        <w:tc>
          <w:tcPr>
            <w:tcW w:w="868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0.997</w:t>
            </w:r>
          </w:p>
        </w:tc>
      </w:tr>
    </w:tbl>
    <w:p w:rsidR="00E82A38" w:rsidRDefault="00E82A38" w:rsidP="00E82A38">
      <w:pPr>
        <w:pStyle w:val="ListParagraph"/>
        <w:numPr>
          <w:ilvl w:val="0"/>
          <w:numId w:val="1"/>
        </w:numPr>
        <w:spacing w:after="200" w:line="276" w:lineRule="auto"/>
      </w:pPr>
      <w:r>
        <w:t>Variables entered on step 1, sex, age, diastolic BP</w:t>
      </w:r>
    </w:p>
    <w:p w:rsidR="00E82A38" w:rsidRDefault="00E82A38" w:rsidP="00E82A38">
      <w:pPr>
        <w:spacing w:after="200" w:line="276" w:lineRule="auto"/>
      </w:pPr>
      <w:r>
        <w:t>Multivariable model symptomatic HAND vs no symptomatic HAND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3"/>
        <w:gridCol w:w="877"/>
        <w:gridCol w:w="877"/>
        <w:gridCol w:w="877"/>
        <w:gridCol w:w="836"/>
        <w:gridCol w:w="877"/>
        <w:gridCol w:w="877"/>
        <w:gridCol w:w="884"/>
        <w:gridCol w:w="885"/>
      </w:tblGrid>
      <w:tr w:rsidR="00837FE5" w:rsidTr="002554A2">
        <w:tc>
          <w:tcPr>
            <w:tcW w:w="1213" w:type="dxa"/>
          </w:tcPr>
          <w:p w:rsidR="00837FE5" w:rsidRDefault="00837FE5" w:rsidP="0020448B">
            <w:pPr>
              <w:spacing w:after="200" w:line="276" w:lineRule="auto"/>
            </w:pP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S.E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Wald</w:t>
            </w:r>
          </w:p>
        </w:tc>
        <w:tc>
          <w:tcPr>
            <w:tcW w:w="83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df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Sig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Exp (B)</w:t>
            </w:r>
          </w:p>
        </w:tc>
        <w:tc>
          <w:tcPr>
            <w:tcW w:w="884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Lower</w:t>
            </w:r>
          </w:p>
        </w:tc>
        <w:tc>
          <w:tcPr>
            <w:tcW w:w="885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Upper</w:t>
            </w:r>
          </w:p>
        </w:tc>
      </w:tr>
      <w:tr w:rsidR="00837FE5" w:rsidTr="002554A2">
        <w:tc>
          <w:tcPr>
            <w:tcW w:w="1213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-0.633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0.447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2.003</w:t>
            </w:r>
          </w:p>
        </w:tc>
        <w:tc>
          <w:tcPr>
            <w:tcW w:w="83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0.157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0.531</w:t>
            </w:r>
          </w:p>
        </w:tc>
        <w:tc>
          <w:tcPr>
            <w:tcW w:w="884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0.221</w:t>
            </w:r>
          </w:p>
        </w:tc>
        <w:tc>
          <w:tcPr>
            <w:tcW w:w="885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1.276</w:t>
            </w:r>
          </w:p>
        </w:tc>
      </w:tr>
      <w:tr w:rsidR="00837FE5" w:rsidTr="002554A2">
        <w:tc>
          <w:tcPr>
            <w:tcW w:w="1213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age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.059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.031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3.779</w:t>
            </w:r>
          </w:p>
        </w:tc>
        <w:tc>
          <w:tcPr>
            <w:tcW w:w="83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0.052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1.061</w:t>
            </w:r>
          </w:p>
        </w:tc>
        <w:tc>
          <w:tcPr>
            <w:tcW w:w="884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1.00</w:t>
            </w:r>
          </w:p>
        </w:tc>
        <w:tc>
          <w:tcPr>
            <w:tcW w:w="885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1.127</w:t>
            </w:r>
          </w:p>
        </w:tc>
      </w:tr>
      <w:tr w:rsidR="00837FE5" w:rsidTr="002554A2">
        <w:tc>
          <w:tcPr>
            <w:tcW w:w="1213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Diastolic BP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-0.28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.018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2.348</w:t>
            </w:r>
          </w:p>
        </w:tc>
        <w:tc>
          <w:tcPr>
            <w:tcW w:w="83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0.125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0.972</w:t>
            </w:r>
          </w:p>
        </w:tc>
        <w:tc>
          <w:tcPr>
            <w:tcW w:w="884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0.938</w:t>
            </w:r>
          </w:p>
        </w:tc>
        <w:tc>
          <w:tcPr>
            <w:tcW w:w="885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1.008</w:t>
            </w:r>
          </w:p>
        </w:tc>
      </w:tr>
      <w:tr w:rsidR="00837FE5" w:rsidTr="002554A2">
        <w:tc>
          <w:tcPr>
            <w:tcW w:w="1213" w:type="dxa"/>
          </w:tcPr>
          <w:p w:rsidR="00837FE5" w:rsidRPr="00837FE5" w:rsidRDefault="00837FE5" w:rsidP="00837FE5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837FE5">
              <w:rPr>
                <w:b/>
                <w:sz w:val="18"/>
                <w:szCs w:val="18"/>
              </w:rPr>
              <w:t>Total serum cholesterol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-.405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.207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3.819</w:t>
            </w:r>
          </w:p>
        </w:tc>
        <w:tc>
          <w:tcPr>
            <w:tcW w:w="836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0.051</w:t>
            </w:r>
          </w:p>
        </w:tc>
        <w:tc>
          <w:tcPr>
            <w:tcW w:w="877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0.667</w:t>
            </w:r>
          </w:p>
        </w:tc>
        <w:tc>
          <w:tcPr>
            <w:tcW w:w="884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.444</w:t>
            </w:r>
          </w:p>
        </w:tc>
        <w:tc>
          <w:tcPr>
            <w:tcW w:w="885" w:type="dxa"/>
          </w:tcPr>
          <w:p w:rsidR="00837FE5" w:rsidRPr="00837FE5" w:rsidRDefault="00837FE5" w:rsidP="00837FE5">
            <w:pPr>
              <w:pStyle w:val="NoSpacing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837FE5">
              <w:rPr>
                <w:rFonts w:ascii="Calibri" w:hAnsi="Calibri"/>
                <w:sz w:val="18"/>
                <w:szCs w:val="18"/>
              </w:rPr>
              <w:t>1.001</w:t>
            </w:r>
          </w:p>
        </w:tc>
      </w:tr>
    </w:tbl>
    <w:p w:rsidR="004C2D88" w:rsidRDefault="004C2D88">
      <w:pPr>
        <w:spacing w:after="160" w:line="259" w:lineRule="auto"/>
        <w:rPr>
          <w:rFonts w:cstheme="minorHAnsi"/>
        </w:rPr>
      </w:pPr>
    </w:p>
    <w:p w:rsidR="004C2D88" w:rsidRPr="004C2D88" w:rsidRDefault="004C2D88" w:rsidP="004C2D88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  <w:r>
        <w:rPr>
          <w:rFonts w:cstheme="minorHAnsi"/>
          <w:i/>
          <w:iCs/>
          <w:color w:val="000000" w:themeColor="text1"/>
          <w:sz w:val="20"/>
          <w:szCs w:val="20"/>
        </w:rPr>
        <w:lastRenderedPageBreak/>
        <w:t>Supplementary Data Figure 1</w:t>
      </w:r>
      <w:r w:rsidRPr="00D43D16">
        <w:rPr>
          <w:rFonts w:cstheme="minorHAnsi"/>
          <w:color w:val="000000" w:themeColor="text1"/>
          <w:sz w:val="20"/>
          <w:szCs w:val="20"/>
        </w:rPr>
        <w:t>: Neuropsychological test battery utilised in this study</w:t>
      </w:r>
      <w:r>
        <w:rPr>
          <w:rFonts w:cstheme="minorHAnsi"/>
          <w:i/>
          <w:iCs/>
          <w:color w:val="000000" w:themeColor="text1"/>
          <w:sz w:val="20"/>
          <w:szCs w:val="20"/>
        </w:rPr>
        <w:t xml:space="preserve"> and associated validation data</w:t>
      </w:r>
    </w:p>
    <w:tbl>
      <w:tblPr>
        <w:tblStyle w:val="GridTable4-Accent31"/>
        <w:tblW w:w="5821" w:type="pct"/>
        <w:tblInd w:w="-572" w:type="dxa"/>
        <w:tblLook w:val="04A0" w:firstRow="1" w:lastRow="0" w:firstColumn="1" w:lastColumn="0" w:noHBand="0" w:noVBand="1"/>
      </w:tblPr>
      <w:tblGrid>
        <w:gridCol w:w="3077"/>
        <w:gridCol w:w="1539"/>
        <w:gridCol w:w="1917"/>
        <w:gridCol w:w="3963"/>
      </w:tblGrid>
      <w:tr w:rsidR="004C2D88" w:rsidRPr="00D43D16" w:rsidTr="00204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Test item and measure recorded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Relevant validation and reference studies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Cognitive domain </w:t>
            </w:r>
          </w:p>
          <w:p w:rsidR="004C2D88" w:rsidRPr="00D43D16" w:rsidRDefault="004C2D88" w:rsidP="0020448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And subdomains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Brief description (measures utilised in this study)</w:t>
            </w: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WHO-UCLA Auditory Verbal Learning Test (AVLT)+*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Total correct/trial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 (HIV 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SSA (Kenya, Zaire)1,3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Reference study (2)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3D16">
              <w:rPr>
                <w:rFonts w:cstheme="minorHAnsi"/>
                <w:b/>
                <w:sz w:val="20"/>
                <w:szCs w:val="20"/>
              </w:rPr>
              <w:t>Verbal memory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Verbal learning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Immediate recall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Post interference recall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30 minute delayed recall 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Recognition memory 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15 word learning list. 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Trials 1-5 (learning)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Trial 5 (immediate recall)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Trial 7 (recall post interference (unrelated) word list)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Trial 8 (30 minute delayed recall)</w:t>
            </w: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Grooved pegboard 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(dominant/non dominant hand)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Time ( seconds)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Dominant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Non-dominant hand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 (HIV)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(4,5)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Uganda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Brazil (low-literacy)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Reference study (1-3)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3D16">
              <w:rPr>
                <w:rFonts w:cstheme="minorHAnsi"/>
                <w:b/>
                <w:sz w:val="20"/>
                <w:szCs w:val="20"/>
              </w:rPr>
              <w:t>Psychomotor speed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 Fine motor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 2D spatial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Insertion of 25 metal pegs into identical but differently orientated holes in order.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Errors highlighted by examiner.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10m Timed walk +**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Mean time (seconds) over 3 trials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Reference study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SSA (Kenya, Zaire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(1-3)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***Motor speed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Timed walk along a measured 10 metre distance. Examiner records time in seconds from markers at 2 metres and 8 metres over 3 attempts. </w:t>
            </w: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Orientation from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Tanzanian Alzheimer’s Disease Assessment Scale-cognitive subscale (ADAS-cog)++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Total correct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(non-HIV, low literacy)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Tanzania (6)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Orientation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Name, day, date, month, year, time of day (nearest hour) and place. 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Scored out of 7.</w:t>
            </w: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Colour trails 1+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(low literacy variant of the trail making test)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Time to complete ( seconds)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 (HIV 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SSA (Kenya, Zaire)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Reference study 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(1-3)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3D16">
              <w:rPr>
                <w:rFonts w:cstheme="minorHAnsi"/>
                <w:b/>
                <w:sz w:val="20"/>
                <w:szCs w:val="20"/>
              </w:rPr>
              <w:t>Psychomotor speed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Sustained attention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Marking a trail of numbers 1-25 in sequence in pencil without lifting the pencil from the page</w:t>
            </w: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Colour trails 2+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(low literacy variant of the trail making test)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Time to complete ( seconds)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 (HIV 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SSA (Kenya, Zaire)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Reference study (1-3)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3D16">
              <w:rPr>
                <w:rFonts w:cstheme="minorHAnsi"/>
                <w:b/>
                <w:sz w:val="20"/>
                <w:szCs w:val="20"/>
              </w:rPr>
              <w:t>Executive function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Processing speed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Selective attention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Sequencing of numbers 1-25 as in Color Trails 1 whilst alternating pink and yellow colours. 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Errors highlighted by examiner. </w:t>
            </w: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Digit span 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Longest correct span 2-9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 (HIV 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SSA (Kenya, Zaire)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lastRenderedPageBreak/>
              <w:t>Reference study (1-3)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D43D16">
              <w:rPr>
                <w:rFonts w:cstheme="minorHAnsi"/>
                <w:b/>
                <w:sz w:val="20"/>
                <w:szCs w:val="20"/>
              </w:rPr>
              <w:lastRenderedPageBreak/>
              <w:t>Working memory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Forwards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Backwards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Progressively increasing number lists from 2 digits onwards repeated by participant until failure.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Stick design test ++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Correct elements as per score guide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NB forms part of 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Tanzanian Alzheimer’s Disease Assessment Scale-cognitive subscale (ADAS-cog)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(7)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Nigeria, 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Brazil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 (low-literacy)</w:t>
            </w:r>
            <w:r w:rsidRPr="00D43D16"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ADDIN EN.CITE &lt;EndNote&gt;&lt;Cite&gt;&lt;Author&gt;Baiyewu&lt;/Author&gt;&lt;Year&gt;2005&lt;/Year&gt;&lt;RecNum&gt;53&lt;/RecNum&gt;&lt;DisplayText&gt;[101]&lt;/DisplayText&gt;&lt;record&gt;&lt;rec-number&gt;53&lt;/rec-number&gt;&lt;foreign-keys&gt;&lt;key app="EN" db-id="a2dwdv9dlez9rnevftyptwww2tdzpx5rax9e" timestamp="0"&gt;53&lt;/key&gt;&lt;/foreign-keys&gt;&lt;ref-type name="Journal Article"&gt;17&lt;/ref-type&gt;&lt;contributors&gt;&lt;authors&gt;&lt;author&gt;Baiyewu, Olusegun&lt;/author&gt;&lt;author&gt;Unverzagt, Frederick W.&lt;/author&gt;&lt;author&gt;Lane, Kathleen A.&lt;/author&gt;&lt;author&gt;Gureje, O. Y. E.&lt;/author&gt;&lt;author&gt;Ogunniyi, Adesola&lt;/author&gt;&lt;author&gt;Musick, Beverly&lt;/author&gt;&lt;author&gt;Gao, Sujuan&lt;/author&gt;&lt;author&gt;Hall, Kathleen S.&lt;/author&gt;&lt;author&gt;Hendrie, Hugh C.&lt;/author&gt;&lt;/authors&gt;&lt;/contributors&gt;&lt;titles&gt;&lt;title&gt;The Stick Design test: A new measure of visuoconstructional ability&lt;/title&gt;&lt;secondary-title&gt;Journal of the International Neuropsychological Society&lt;/secondary-title&gt;&lt;/titles&gt;&lt;pages&gt;598-605&lt;/pages&gt;&lt;volume&gt;11&lt;/volume&gt;&lt;number&gt;5&lt;/number&gt;&lt;edition&gt;08/26&lt;/edition&gt;&lt;keywords&gt;&lt;keyword&gt;Cognition&lt;/keyword&gt;&lt;keyword&gt;Neuropsychological test&lt;/keyword&gt;&lt;keyword&gt;Aging&lt;/keyword&gt;&lt;keyword&gt;Dementia&lt;/keyword&gt;&lt;keyword&gt;Diagnosis&lt;/keyword&gt;&lt;keyword&gt;Geriatric assessment&lt;/keyword&gt;&lt;/keywords&gt;&lt;dates&gt;&lt;year&gt;2005&lt;/year&gt;&lt;/dates&gt;&lt;publisher&gt;Cambridge University Press&lt;/publisher&gt;&lt;isbn&gt;1355-6177&lt;/isbn&gt;&lt;urls&gt;&lt;related-urls&gt;&lt;url&gt;https://www.cambridge.org/core/article/stick-design-test-a-new-measure-of-visuoconstructional-ability/C629C420D6E8FDC9F64A3F5BEE0DF68A&lt;/url&gt;&lt;/related-urls&gt;&lt;/urls&gt;&lt;electronic-resource-num&gt;10.1017/S135561770505071X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 w:rsidRPr="00D43D16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[101]</w:t>
            </w:r>
            <w:r w:rsidRPr="00D43D16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7,8)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Non-HIV cognitive impairment (Tanzania) (6)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Visuoconstruction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Attempt 1 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Visual memory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Attempt 2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Visuoconstruction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Reconstruction of four previously-demonstrated matchstick shapes. Scoring guidance as in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Maximum score 12</w:t>
            </w: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Categorical verbal fluency*** 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Number of correct items/minute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Adapted from ‘supermarket task’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Validations 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(low-literacy)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Brazil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Turkish immigrants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(9-12)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Verbal fluency****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Items typically found in market listed in one minute. </w:t>
            </w:r>
          </w:p>
          <w:p w:rsidR="004C2D88" w:rsidRPr="00D43D16" w:rsidRDefault="004C2D88" w:rsidP="0020448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Inappropriate items and repeats recorded for additional clinical information (evidence of perseveration etc) </w:t>
            </w: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pct"/>
          </w:tcPr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Verbal commands 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from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Tanzanian Alzheimer’s Disease Assessment Scale-cognitive subscale (ADAS-cog) ++</w:t>
            </w:r>
          </w:p>
          <w:p w:rsidR="004C2D88" w:rsidRPr="00D43D16" w:rsidRDefault="004C2D88" w:rsidP="0020448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Total trials correct</w:t>
            </w:r>
          </w:p>
        </w:tc>
        <w:tc>
          <w:tcPr>
            <w:tcW w:w="73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Validation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(non-HIV, low literacy)</w:t>
            </w: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Tanzania (6)</w:t>
            </w:r>
          </w:p>
        </w:tc>
        <w:tc>
          <w:tcPr>
            <w:tcW w:w="913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>Verbal language comprehension</w:t>
            </w:r>
          </w:p>
        </w:tc>
        <w:tc>
          <w:tcPr>
            <w:tcW w:w="1888" w:type="pct"/>
          </w:tcPr>
          <w:p w:rsidR="004C2D88" w:rsidRPr="00D43D16" w:rsidRDefault="004C2D88" w:rsidP="0020448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43D16">
              <w:rPr>
                <w:rFonts w:cstheme="minorHAnsi"/>
                <w:sz w:val="20"/>
                <w:szCs w:val="20"/>
              </w:rPr>
              <w:t xml:space="preserve">Completion of five verbal commands of increasing complexity </w:t>
            </w:r>
          </w:p>
        </w:tc>
      </w:tr>
      <w:tr w:rsidR="004C2D88" w:rsidRPr="00D43D16" w:rsidTr="00204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4C2D88" w:rsidRPr="00D43D16" w:rsidRDefault="004C2D88" w:rsidP="0020448B">
            <w:pPr>
              <w:rPr>
                <w:rFonts w:cstheme="minorHAnsi"/>
              </w:rPr>
            </w:pPr>
            <w:r w:rsidRPr="00D43D16">
              <w:rPr>
                <w:rFonts w:cstheme="minorHAnsi"/>
                <w:b w:val="0"/>
              </w:rPr>
              <w:t>Additional confirmatory bedside tests</w:t>
            </w:r>
            <w:r w:rsidRPr="00D43D16">
              <w:rPr>
                <w:rFonts w:cstheme="minorHAnsi"/>
              </w:rPr>
              <w:t xml:space="preserve"> </w:t>
            </w:r>
          </w:p>
          <w:p w:rsidR="004C2D88" w:rsidRPr="00D43D16" w:rsidRDefault="004C2D88" w:rsidP="0020448B">
            <w:pPr>
              <w:rPr>
                <w:rFonts w:cstheme="minorHAnsi"/>
              </w:rPr>
            </w:pPr>
            <w:r w:rsidRPr="00D43D16">
              <w:rPr>
                <w:rFonts w:cstheme="minorHAnsi"/>
              </w:rPr>
              <w:t xml:space="preserve">(NB not normed, but available as supportive information to aid clinical judgement). </w:t>
            </w:r>
          </w:p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>Three item registration and recall, subjective rating of expressive language, reciprocal alternating movements, Luria three hand position test, praxis (strike match, demonstrate toothbrush use)</w:t>
            </w:r>
          </w:p>
        </w:tc>
      </w:tr>
      <w:tr w:rsidR="004C2D88" w:rsidRPr="00D43D16" w:rsidTr="00204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>+ Included within original WHO neuropsychological test battery for HIV</w:t>
            </w:r>
          </w:p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>++ Additional measures of cortical function locally validated</w:t>
            </w:r>
          </w:p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>*Culture-fair adaptation of the Rey Auditory Verbal Learning Test (AVLT)</w:t>
            </w:r>
          </w:p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>** Not utilised for HAND criteria, but provided additional clinical information to aid clinical judgement</w:t>
            </w:r>
          </w:p>
          <w:p w:rsidR="004C2D88" w:rsidRPr="00D43D16" w:rsidRDefault="004C2D88" w:rsidP="0020448B">
            <w:pPr>
              <w:rPr>
                <w:rFonts w:cstheme="minorHAnsi"/>
                <w:b w:val="0"/>
              </w:rPr>
            </w:pPr>
            <w:r w:rsidRPr="00D43D16">
              <w:rPr>
                <w:rFonts w:cstheme="minorHAnsi"/>
                <w:b w:val="0"/>
              </w:rPr>
              <w:t xml:space="preserve">***Adaptation of the ‘supermarket item’ naming task (reportedly less educationally/culturally influenced than animal naming task). NB for references related to challenges of phonemic (letter) fluency in low-literacy settings supportive use of categorical fluency in this setting see. </w:t>
            </w:r>
          </w:p>
          <w:p w:rsidR="004C2D88" w:rsidRPr="00D43D16" w:rsidRDefault="004C2D88" w:rsidP="0020448B">
            <w:pPr>
              <w:keepNext/>
              <w:rPr>
                <w:rFonts w:cstheme="minorHAnsi"/>
                <w:b w:val="0"/>
              </w:rPr>
            </w:pPr>
          </w:p>
        </w:tc>
      </w:tr>
    </w:tbl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 xml:space="preserve">Footnote: Key References: 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 xml:space="preserve">Color trails 1 and 2, WHO-UCLA AVLT 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lastRenderedPageBreak/>
        <w:t>1 Maj M, Janssen R, Satz P, et al. The World Health Organization's Cross-cultural Study on Neuropsychiatric Aspects of Infection with the Human Immunodeficiency Virus 1 (HIV-1) Preparation and Pilot Phase. The British Journal of Psychiatry. 1991 Sep;159(3):351-6.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 xml:space="preserve"> 2 Maj M, Satz P, Janssen R, Zaudig M, et al G. WHO Neuropsychiatric AIDS Study, cross-sectional phase II: neuropsychological and neurological findings. Archives of general psychiatry. 1994 Jan 1;51(1):51-61. 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3 Maj M, D'Elia L, Satz P, Janssen Ret al. Evaluation of two new neuropsychological tests designed to minimize cultural bias in the assessment of HIV-1 seropositive persons: a WHO study. Archives of clinical Neuropsychology. 1993 Jan 1;8(2):123-35.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>Pegboard brazil low literacy (validation)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4 de Almeida SM, Kamat R, Cherner M, et al. Improving detection of HIV-associated cognitive impairment: comparison of the international HIV dementia scale and a brief screening battery. Journal of acquired immune deficiency syndromes (1999). 2017 Mar 1;74(3):332.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Uganda – validation for HIV dementia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5 Sacktor NC, Wong M, Nakasujja N, et al. The International HIV Dementia Scale: a new rapid screening test for HIV dementia. Aids. 2005 Sep 2;19(13):1367-74.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 xml:space="preserve">Orientation and verbal commands </w:t>
      </w:r>
    </w:p>
    <w:p w:rsidR="004C2D88" w:rsidRPr="00470046" w:rsidRDefault="004C2D88" w:rsidP="004C2D88">
      <w:pPr>
        <w:pStyle w:val="EndNoteBibliography"/>
        <w:spacing w:after="0"/>
        <w:rPr>
          <w:rFonts w:asciiTheme="minorHAnsi" w:hAnsiTheme="minorHAnsi" w:cstheme="minorHAnsi"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</w:pPr>
      <w:r w:rsidRPr="00470046">
        <w:rPr>
          <w:rFonts w:asciiTheme="minorHAnsi" w:hAnsiTheme="minorHAnsi" w:cstheme="minorHAnsi"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  <w:t>6. Paddick, S.M., et al., Adaptation and validation of the Alzheimer's Disease Assessment Scale - Cognitive (ADAS-Cog) in a low-literacy setting in sub-Saharan Africa. Acta Neuropsychiatr, 2017: p. 1-8.</w:t>
      </w:r>
    </w:p>
    <w:p w:rsidR="004C2D88" w:rsidRPr="00470046" w:rsidRDefault="004C2D88" w:rsidP="004C2D88">
      <w:pPr>
        <w:pStyle w:val="EndNoteBibliography"/>
        <w:spacing w:after="0"/>
        <w:rPr>
          <w:rFonts w:asciiTheme="minorHAnsi" w:hAnsiTheme="minorHAnsi" w:cstheme="minorHAnsi"/>
          <w:b/>
          <w:bCs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</w:pPr>
    </w:p>
    <w:p w:rsidR="004C2D88" w:rsidRPr="00470046" w:rsidRDefault="004C2D88" w:rsidP="004C2D88">
      <w:pPr>
        <w:pStyle w:val="EndNoteBibliography"/>
        <w:spacing w:after="0"/>
        <w:rPr>
          <w:rFonts w:asciiTheme="minorHAnsi" w:hAnsiTheme="minorHAnsi" w:cstheme="minorHAnsi"/>
          <w:b/>
          <w:bCs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</w:pPr>
      <w:r w:rsidRPr="00470046">
        <w:rPr>
          <w:rFonts w:asciiTheme="minorHAnsi" w:hAnsiTheme="minorHAnsi" w:cstheme="minorHAnsi"/>
          <w:b/>
          <w:bCs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  <w:t xml:space="preserve">Visuoconstruction (stick design test) </w:t>
      </w:r>
    </w:p>
    <w:p w:rsidR="004C2D88" w:rsidRPr="00470046" w:rsidRDefault="004C2D88" w:rsidP="004C2D88">
      <w:pPr>
        <w:pStyle w:val="EndNoteBibliography"/>
        <w:spacing w:after="0"/>
        <w:rPr>
          <w:rFonts w:asciiTheme="minorHAnsi" w:hAnsiTheme="minorHAnsi" w:cstheme="minorHAnsi"/>
          <w:i/>
          <w:iCs/>
          <w:noProof w:val="0"/>
          <w:color w:val="000000" w:themeColor="text1"/>
          <w:sz w:val="18"/>
          <w:szCs w:val="18"/>
          <w:shd w:val="clear" w:color="auto" w:fill="FFFFFF"/>
          <w:lang w:val="en-GB"/>
        </w:rPr>
      </w:pP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7. Baiyewu, O., et al., The Stick Design test: A new measure of visuoconstructional ability. Journal of the International Neuropsychological Society, 2005. 11(5): p. 598-605.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</w:rPr>
      </w:pPr>
      <w:r w:rsidRPr="00D23EC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  <w:lang w:val="es-ES"/>
        </w:rPr>
        <w:t xml:space="preserve">8. de Paula JJ, Costa MV, Bocardi MB, et al. </w:t>
      </w: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The Stick Design Test on the assessment of older adults with low formal education: evidences of construct, criterion-related and ecological validity. International psychogeriatrics. 2013 Dec;25(12):2057-65.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>Market test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9.Nielsen TR, Waldemar G. Effects of literacy on semantic verbal fluency in an immigrant population. Aging Neuropsychol Cogn. 2016;23(5):578-90.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10.Neves TR, Araújo NB, Silva FD, et al. Accuracy of the semantic fluency test to separate healthy old people from patients with Alzheimer’s disease in a low education population. Journal Brasileiro de Psiquiatria. 2020 Jun 1;69:82-7.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11. Nielsen TR, Waldemar G. Effects of literacy on semantic verbal fluency in an immigrant population. Aging, Neuropsychology, and Cognition. 2016 Sep 2;23(5):578-90.</w:t>
      </w:r>
    </w:p>
    <w:p w:rsidR="004C2D88" w:rsidRPr="00470046" w:rsidRDefault="004C2D88" w:rsidP="004C2D88">
      <w:pPr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470046">
        <w:rPr>
          <w:rFonts w:cstheme="minorHAnsi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>Verbal fluency</w:t>
      </w:r>
    </w:p>
    <w:p w:rsidR="004C2D88" w:rsidRPr="00470046" w:rsidRDefault="004C2D88" w:rsidP="004C2D88">
      <w:pPr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</w:pPr>
      <w:r w:rsidRPr="00470046">
        <w:rPr>
          <w:rFonts w:cstheme="minorHAnsi"/>
          <w:i/>
          <w:iCs/>
          <w:color w:val="000000" w:themeColor="text1"/>
          <w:sz w:val="18"/>
          <w:szCs w:val="18"/>
          <w:shd w:val="clear" w:color="auto" w:fill="FFFFFF"/>
        </w:rPr>
        <w:t>12. Ratcliff G, Ganguli M, Chandra V, et al. Effects of literacy and education on measures of word fluency. Brain and Language. 1998 Jan 1;61(1):115-22.</w:t>
      </w:r>
    </w:p>
    <w:p w:rsidR="004C2D88" w:rsidRDefault="004C2D88" w:rsidP="004C2D88">
      <w:pPr>
        <w:spacing w:line="480" w:lineRule="auto"/>
        <w:rPr>
          <w:rFonts w:cstheme="minorHAnsi"/>
        </w:rPr>
      </w:pPr>
    </w:p>
    <w:p w:rsidR="00760307" w:rsidRDefault="00837FE5"/>
    <w:sectPr w:rsidR="00760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298" w:rsidRDefault="00833298" w:rsidP="004C2D88">
      <w:pPr>
        <w:spacing w:after="0" w:line="240" w:lineRule="auto"/>
      </w:pPr>
      <w:r>
        <w:separator/>
      </w:r>
    </w:p>
  </w:endnote>
  <w:endnote w:type="continuationSeparator" w:id="0">
    <w:p w:rsidR="00833298" w:rsidRDefault="00833298" w:rsidP="004C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298" w:rsidRDefault="00833298" w:rsidP="004C2D88">
      <w:pPr>
        <w:spacing w:after="0" w:line="240" w:lineRule="auto"/>
      </w:pPr>
      <w:r>
        <w:separator/>
      </w:r>
    </w:p>
  </w:footnote>
  <w:footnote w:type="continuationSeparator" w:id="0">
    <w:p w:rsidR="00833298" w:rsidRDefault="00833298" w:rsidP="004C2D88">
      <w:pPr>
        <w:spacing w:after="0" w:line="240" w:lineRule="auto"/>
      </w:pPr>
      <w:r>
        <w:continuationSeparator/>
      </w:r>
    </w:p>
  </w:footnote>
  <w:footnote w:id="1">
    <w:p w:rsidR="004C2D88" w:rsidRDefault="004C2D88" w:rsidP="004C2D8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457A"/>
    <w:multiLevelType w:val="hybridMultilevel"/>
    <w:tmpl w:val="B01241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88"/>
    <w:rsid w:val="002554A2"/>
    <w:rsid w:val="003617D6"/>
    <w:rsid w:val="004C2D88"/>
    <w:rsid w:val="00833298"/>
    <w:rsid w:val="00837FE5"/>
    <w:rsid w:val="00896E5B"/>
    <w:rsid w:val="00910126"/>
    <w:rsid w:val="00E82A38"/>
    <w:rsid w:val="00ED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D805"/>
  <w15:chartTrackingRefBased/>
  <w15:docId w15:val="{597EB9E4-DCDA-4F1A-A1E2-26D31D2B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D88"/>
    <w:pPr>
      <w:spacing w:after="180" w:line="27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C2D88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NoSpacing">
    <w:name w:val="No Spacing"/>
    <w:link w:val="NoSpacingChar"/>
    <w:uiPriority w:val="1"/>
    <w:qFormat/>
    <w:rsid w:val="004C2D8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C2D88"/>
  </w:style>
  <w:style w:type="table" w:customStyle="1" w:styleId="GridTable6Colorful1">
    <w:name w:val="Grid Table 6 Colorful1"/>
    <w:basedOn w:val="TableNormal"/>
    <w:uiPriority w:val="51"/>
    <w:rsid w:val="004C2D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2D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2D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2D88"/>
    <w:rPr>
      <w:vertAlign w:val="superscript"/>
    </w:rPr>
  </w:style>
  <w:style w:type="table" w:customStyle="1" w:styleId="GridTable4-Accent31">
    <w:name w:val="Grid Table 4 - Accent 31"/>
    <w:basedOn w:val="TableNormal"/>
    <w:uiPriority w:val="49"/>
    <w:rsid w:val="004C2D8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ndNoteBibliography">
    <w:name w:val="EndNote Bibliography"/>
    <w:basedOn w:val="Normal"/>
    <w:link w:val="EndNoteBibliographyChar"/>
    <w:rsid w:val="004C2D88"/>
    <w:pPr>
      <w:spacing w:after="16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C2D88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E82A38"/>
    <w:pPr>
      <w:spacing w:line="240" w:lineRule="auto"/>
      <w:ind w:left="720" w:hanging="288"/>
      <w:contextualSpacing/>
    </w:pPr>
    <w:rPr>
      <w:color w:val="44546A" w:themeColor="text2"/>
    </w:rPr>
  </w:style>
  <w:style w:type="table" w:styleId="TableGrid">
    <w:name w:val="Table Grid"/>
    <w:basedOn w:val="TableNormal"/>
    <w:uiPriority w:val="39"/>
    <w:rsid w:val="00E8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2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Stella-Maria Paddick</dc:creator>
  <cp:keywords/>
  <dc:description/>
  <cp:lastModifiedBy>Paddick Stella-Maria</cp:lastModifiedBy>
  <cp:revision>2</cp:revision>
  <dcterms:created xsi:type="dcterms:W3CDTF">2022-08-01T12:17:00Z</dcterms:created>
  <dcterms:modified xsi:type="dcterms:W3CDTF">2022-08-01T12:17:00Z</dcterms:modified>
</cp:coreProperties>
</file>