
<file path=[Content_Types].xml><?xml version="1.0" encoding="utf-8"?>
<Types xmlns="http://schemas.openxmlformats.org/package/2006/content-types">
  <Default Extension="rels" ContentType="application/vnd.openxmlformats-package.relationships+xml"/>
  <Default Extension="xml" ContentType="application/xml"/>
  <Default Extension="tiff" ContentType="image/tiff"/>
  <Default Extension="odttf" ContentType="application/vnd.openxmlformats-officedocument.obfuscatedFont"/>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767" w:rsidRDefault="00425666" w:rsidP="00E53767">
      <w:pPr>
        <w:spacing w:after="120" w:line="269" w:lineRule="auto"/>
        <w:jc w:val="center"/>
        <w:rPr>
          <w:rFonts w:ascii="Arial" w:hAnsi="Arial" w:cs="Arial"/>
          <w:b/>
          <w:bCs/>
        </w:rPr>
      </w:pPr>
      <w:r w:rsidRPr="000C3027">
        <w:rPr>
          <w:rFonts w:ascii="Arial" w:hAnsi="Arial" w:cs="Arial"/>
          <w:b/>
          <w:bCs/>
        </w:rPr>
        <w:t xml:space="preserve">Supplementary </w:t>
      </w:r>
      <w:r w:rsidR="00E53767">
        <w:rPr>
          <w:rFonts w:ascii="Arial" w:hAnsi="Arial" w:cs="Arial"/>
          <w:b/>
          <w:bCs/>
        </w:rPr>
        <w:t>information for:</w:t>
      </w:r>
    </w:p>
    <w:p w:rsidR="00E53767" w:rsidRDefault="00E53767" w:rsidP="00E53767">
      <w:pPr>
        <w:spacing w:after="120" w:line="360" w:lineRule="auto"/>
        <w:jc w:val="center"/>
        <w:rPr>
          <w:rFonts w:ascii="Arial" w:eastAsia="SimSun" w:hAnsi="Arial" w:cs="Arial"/>
          <w:b/>
          <w:bCs/>
        </w:rPr>
      </w:pPr>
      <w:r>
        <w:rPr>
          <w:rFonts w:ascii="Arial" w:eastAsia="SimSun" w:hAnsi="Arial" w:cs="Arial"/>
          <w:b/>
          <w:bCs/>
        </w:rPr>
        <w:t xml:space="preserve">Host species </w:t>
      </w:r>
      <w:r w:rsidRPr="00752C0B">
        <w:rPr>
          <w:rFonts w:ascii="Arial" w:eastAsia="SimSun" w:hAnsi="Arial" w:cs="Arial"/>
          <w:b/>
          <w:bCs/>
        </w:rPr>
        <w:t xml:space="preserve">and </w:t>
      </w:r>
      <w:r>
        <w:rPr>
          <w:rFonts w:ascii="Arial" w:eastAsia="SimSun" w:hAnsi="Arial" w:cs="Arial"/>
          <w:b/>
          <w:bCs/>
        </w:rPr>
        <w:t xml:space="preserve">environment </w:t>
      </w:r>
      <w:r w:rsidRPr="00752C0B">
        <w:rPr>
          <w:rFonts w:ascii="Arial" w:eastAsia="SimSun" w:hAnsi="Arial" w:cs="Arial"/>
          <w:b/>
          <w:bCs/>
        </w:rPr>
        <w:t>shape the gut microbiota of cohabiting marine bivalves</w:t>
      </w:r>
    </w:p>
    <w:p w:rsidR="00E53767" w:rsidRPr="00752C0B" w:rsidRDefault="00E53767" w:rsidP="00E53767">
      <w:pPr>
        <w:spacing w:after="120" w:line="360" w:lineRule="auto"/>
        <w:jc w:val="center"/>
        <w:rPr>
          <w:rFonts w:ascii="Arial" w:eastAsia="SimSun" w:hAnsi="Arial" w:cs="Arial"/>
          <w:b/>
          <w:bCs/>
        </w:rPr>
      </w:pPr>
    </w:p>
    <w:p w:rsidR="00E53767" w:rsidRDefault="00E53767" w:rsidP="00E53767">
      <w:pPr>
        <w:spacing w:after="120" w:line="360" w:lineRule="auto"/>
        <w:jc w:val="center"/>
        <w:rPr>
          <w:rFonts w:ascii="Arial" w:hAnsi="Arial" w:cs="Arial"/>
        </w:rPr>
      </w:pPr>
      <w:r w:rsidRPr="00752C0B">
        <w:rPr>
          <w:rFonts w:ascii="Arial" w:hAnsi="Arial" w:cs="Arial"/>
        </w:rPr>
        <w:t>Shirin Akter</w:t>
      </w:r>
      <w:r w:rsidRPr="00752C0B">
        <w:rPr>
          <w:rFonts w:ascii="Arial" w:hAnsi="Arial" w:cs="Arial"/>
          <w:vertAlign w:val="superscript"/>
        </w:rPr>
        <w:t>1</w:t>
      </w:r>
      <w:r w:rsidRPr="00752C0B">
        <w:rPr>
          <w:rFonts w:ascii="Arial" w:hAnsi="Arial" w:cs="Arial"/>
        </w:rPr>
        <w:t xml:space="preserve">, Melissa L </w:t>
      </w:r>
      <w:r>
        <w:rPr>
          <w:rFonts w:ascii="Arial" w:hAnsi="Arial" w:cs="Arial"/>
        </w:rPr>
        <w:t>Wos-</w:t>
      </w:r>
      <w:r w:rsidRPr="00752C0B">
        <w:rPr>
          <w:rFonts w:ascii="Arial" w:hAnsi="Arial" w:cs="Arial"/>
        </w:rPr>
        <w:t>Oxley</w:t>
      </w:r>
      <w:r w:rsidRPr="00752C0B">
        <w:rPr>
          <w:rFonts w:ascii="Arial" w:hAnsi="Arial" w:cs="Arial"/>
          <w:vertAlign w:val="superscript"/>
        </w:rPr>
        <w:t>2</w:t>
      </w:r>
      <w:r w:rsidRPr="00752C0B">
        <w:rPr>
          <w:rFonts w:ascii="Arial" w:hAnsi="Arial" w:cs="Arial"/>
        </w:rPr>
        <w:t>, Sarah R Catalano</w:t>
      </w:r>
      <w:r w:rsidRPr="00752C0B">
        <w:rPr>
          <w:rFonts w:ascii="Arial" w:hAnsi="Arial" w:cs="Arial"/>
          <w:vertAlign w:val="superscript"/>
        </w:rPr>
        <w:t>3</w:t>
      </w:r>
      <w:r w:rsidRPr="00752C0B">
        <w:rPr>
          <w:rFonts w:ascii="Arial" w:hAnsi="Arial" w:cs="Arial"/>
        </w:rPr>
        <w:t>, Md Mahbubul Hassan</w:t>
      </w:r>
      <w:r w:rsidRPr="00752C0B">
        <w:rPr>
          <w:rFonts w:ascii="Arial" w:hAnsi="Arial" w:cs="Arial"/>
          <w:vertAlign w:val="superscript"/>
        </w:rPr>
        <w:t>1</w:t>
      </w:r>
      <w:r>
        <w:rPr>
          <w:rFonts w:ascii="Arial" w:hAnsi="Arial" w:cs="Arial"/>
          <w:vertAlign w:val="superscript"/>
        </w:rPr>
        <w:t>,4</w:t>
      </w:r>
      <w:r w:rsidRPr="00752C0B">
        <w:rPr>
          <w:rFonts w:ascii="Arial" w:hAnsi="Arial" w:cs="Arial"/>
        </w:rPr>
        <w:t>, Xiaoxu Li</w:t>
      </w:r>
      <w:r w:rsidRPr="00752C0B">
        <w:rPr>
          <w:rFonts w:ascii="Arial" w:hAnsi="Arial" w:cs="Arial"/>
          <w:vertAlign w:val="superscript"/>
        </w:rPr>
        <w:t>3</w:t>
      </w:r>
      <w:r w:rsidRPr="00752C0B">
        <w:rPr>
          <w:rFonts w:ascii="Arial" w:hAnsi="Arial" w:cs="Arial"/>
        </w:rPr>
        <w:t>, Jian G Qin</w:t>
      </w:r>
      <w:r w:rsidRPr="00752C0B">
        <w:rPr>
          <w:rFonts w:ascii="Arial" w:hAnsi="Arial" w:cs="Arial"/>
          <w:vertAlign w:val="superscript"/>
        </w:rPr>
        <w:t>1</w:t>
      </w:r>
      <w:r w:rsidRPr="00752C0B">
        <w:rPr>
          <w:rFonts w:ascii="Arial" w:hAnsi="Arial" w:cs="Arial"/>
        </w:rPr>
        <w:t>, Andrew PA Oxley</w:t>
      </w:r>
      <w:r w:rsidRPr="00752C0B">
        <w:rPr>
          <w:rFonts w:ascii="Arial" w:hAnsi="Arial" w:cs="Arial"/>
          <w:vertAlign w:val="superscript"/>
        </w:rPr>
        <w:t>3,</w:t>
      </w:r>
      <w:r>
        <w:rPr>
          <w:rFonts w:ascii="Arial" w:hAnsi="Arial" w:cs="Arial"/>
          <w:vertAlign w:val="superscript"/>
        </w:rPr>
        <w:t>5</w:t>
      </w:r>
      <w:r w:rsidR="008B0CB1">
        <w:rPr>
          <w:rFonts w:ascii="Arial" w:hAnsi="Arial" w:cs="Arial"/>
          <w:vertAlign w:val="superscript"/>
        </w:rPr>
        <w:t>*</w:t>
      </w:r>
    </w:p>
    <w:p w:rsidR="00E53767" w:rsidRPr="00752C0B" w:rsidRDefault="00E53767" w:rsidP="00E53767">
      <w:pPr>
        <w:spacing w:after="120" w:line="360" w:lineRule="auto"/>
        <w:rPr>
          <w:rFonts w:ascii="Arial" w:hAnsi="Arial" w:cs="Arial"/>
        </w:rPr>
      </w:pPr>
    </w:p>
    <w:p w:rsidR="00E53767" w:rsidRPr="00752C0B" w:rsidRDefault="00E53767" w:rsidP="00E53767">
      <w:pPr>
        <w:spacing w:after="120" w:line="360" w:lineRule="auto"/>
        <w:rPr>
          <w:rFonts w:ascii="Arial" w:hAnsi="Arial" w:cs="Arial"/>
        </w:rPr>
      </w:pPr>
      <w:r w:rsidRPr="00752C0B">
        <w:rPr>
          <w:rFonts w:ascii="Arial" w:hAnsi="Arial" w:cs="Arial"/>
          <w:vertAlign w:val="superscript"/>
        </w:rPr>
        <w:t>1</w:t>
      </w:r>
      <w:r w:rsidRPr="00752C0B">
        <w:rPr>
          <w:rFonts w:ascii="Arial" w:hAnsi="Arial" w:cs="Arial"/>
        </w:rPr>
        <w:t>College of Science and Engineering, Flinders University, Adelaide, SA, Australia.</w:t>
      </w:r>
    </w:p>
    <w:p w:rsidR="00E53767" w:rsidRPr="00752C0B" w:rsidRDefault="00E53767" w:rsidP="00E53767">
      <w:pPr>
        <w:spacing w:after="120" w:line="360" w:lineRule="auto"/>
        <w:rPr>
          <w:rFonts w:ascii="Arial" w:hAnsi="Arial" w:cs="Arial"/>
        </w:rPr>
      </w:pPr>
      <w:r w:rsidRPr="00752C0B">
        <w:rPr>
          <w:rFonts w:ascii="Arial" w:hAnsi="Arial" w:cs="Arial"/>
          <w:vertAlign w:val="superscript"/>
        </w:rPr>
        <w:t>2</w:t>
      </w:r>
      <w:r w:rsidRPr="00752C0B">
        <w:rPr>
          <w:rFonts w:ascii="Arial" w:hAnsi="Arial" w:cs="Arial"/>
        </w:rPr>
        <w:t>School of Medicine, Deakin Univ</w:t>
      </w:r>
      <w:r w:rsidR="001E556C">
        <w:rPr>
          <w:rFonts w:ascii="Arial" w:hAnsi="Arial" w:cs="Arial"/>
        </w:rPr>
        <w:t>ersity, Geelong, VIC, Australia</w:t>
      </w:r>
    </w:p>
    <w:p w:rsidR="00E53767" w:rsidRDefault="00E53767" w:rsidP="00E53767">
      <w:pPr>
        <w:spacing w:after="120" w:line="360" w:lineRule="auto"/>
        <w:rPr>
          <w:rFonts w:ascii="Arial" w:hAnsi="Arial" w:cs="Arial"/>
        </w:rPr>
      </w:pPr>
      <w:r w:rsidRPr="00752C0B">
        <w:rPr>
          <w:rFonts w:ascii="Arial" w:hAnsi="Arial" w:cs="Arial"/>
          <w:vertAlign w:val="superscript"/>
        </w:rPr>
        <w:t>3</w:t>
      </w:r>
      <w:r w:rsidRPr="00752C0B">
        <w:rPr>
          <w:rFonts w:ascii="Arial" w:hAnsi="Arial" w:cs="Arial"/>
        </w:rPr>
        <w:t>Aquatic Sciences</w:t>
      </w:r>
      <w:r>
        <w:rPr>
          <w:rFonts w:ascii="Arial" w:hAnsi="Arial" w:cs="Arial"/>
        </w:rPr>
        <w:t xml:space="preserve"> Centre</w:t>
      </w:r>
      <w:r w:rsidRPr="00752C0B">
        <w:rPr>
          <w:rFonts w:ascii="Arial" w:hAnsi="Arial" w:cs="Arial"/>
        </w:rPr>
        <w:t>, South Australian Research and Development Institute, West Beach, SA, Australia</w:t>
      </w:r>
    </w:p>
    <w:p w:rsidR="00E53767" w:rsidRPr="004A2419" w:rsidRDefault="00E53767" w:rsidP="00E53767">
      <w:pPr>
        <w:spacing w:after="120" w:line="360" w:lineRule="auto"/>
        <w:rPr>
          <w:rFonts w:ascii="Arial" w:eastAsia="Times New Roman" w:hAnsi="Arial" w:cs="Arial"/>
          <w:bCs/>
          <w:lang w:eastAsia="en-AU"/>
        </w:rPr>
      </w:pPr>
      <w:r w:rsidRPr="00491392">
        <w:rPr>
          <w:rFonts w:ascii="Arial" w:eastAsia="Times New Roman" w:hAnsi="Arial" w:cs="Arial"/>
          <w:bCs/>
          <w:vertAlign w:val="superscript"/>
          <w:lang w:eastAsia="en-AU"/>
        </w:rPr>
        <w:t>4</w:t>
      </w:r>
      <w:r w:rsidRPr="004A2419">
        <w:rPr>
          <w:rFonts w:ascii="Arial" w:eastAsia="Times New Roman" w:hAnsi="Arial" w:cs="Arial"/>
          <w:bCs/>
          <w:lang w:eastAsia="en-AU"/>
        </w:rPr>
        <w:t>Harbor Branch Oceanographic Institute, Florida Atlantic University, Fort Pierce, FL, USA</w:t>
      </w:r>
    </w:p>
    <w:p w:rsidR="00E53767" w:rsidRPr="00752C0B" w:rsidRDefault="00E53767" w:rsidP="00E53767">
      <w:pPr>
        <w:spacing w:after="120" w:line="360" w:lineRule="auto"/>
        <w:rPr>
          <w:rFonts w:ascii="Arial" w:hAnsi="Arial" w:cs="Arial"/>
        </w:rPr>
      </w:pPr>
      <w:r>
        <w:rPr>
          <w:rFonts w:ascii="Arial" w:hAnsi="Arial" w:cs="Arial"/>
          <w:vertAlign w:val="superscript"/>
        </w:rPr>
        <w:t>5</w:t>
      </w:r>
      <w:r w:rsidRPr="00752C0B">
        <w:rPr>
          <w:rFonts w:ascii="Arial" w:hAnsi="Arial" w:cs="Arial"/>
        </w:rPr>
        <w:t xml:space="preserve">School of Life and Environmental Sciences, Deakin University, </w:t>
      </w:r>
      <w:r w:rsidR="001E556C">
        <w:rPr>
          <w:rFonts w:ascii="Arial" w:hAnsi="Arial" w:cs="Arial"/>
        </w:rPr>
        <w:t>Geelong, VIC, Australia</w:t>
      </w:r>
    </w:p>
    <w:p w:rsidR="00E53767" w:rsidRPr="00752C0B" w:rsidRDefault="00E53767" w:rsidP="00E53767">
      <w:pPr>
        <w:spacing w:after="120" w:line="360" w:lineRule="auto"/>
        <w:rPr>
          <w:rFonts w:ascii="Arial" w:hAnsi="Arial" w:cs="Arial"/>
          <w:b/>
        </w:rPr>
      </w:pPr>
    </w:p>
    <w:p w:rsidR="00E53767" w:rsidRPr="00E53767" w:rsidRDefault="008B0CB1" w:rsidP="00E53767">
      <w:pPr>
        <w:spacing w:after="0" w:line="360" w:lineRule="auto"/>
        <w:rPr>
          <w:rFonts w:ascii="Arial" w:hAnsi="Arial" w:cs="Arial"/>
        </w:rPr>
      </w:pPr>
      <w:r>
        <w:rPr>
          <w:rFonts w:ascii="Arial" w:hAnsi="Arial" w:cs="Arial"/>
          <w:b/>
        </w:rPr>
        <w:t>*</w:t>
      </w:r>
      <w:r w:rsidR="00E53767" w:rsidRPr="00E53767">
        <w:rPr>
          <w:rFonts w:ascii="Arial" w:hAnsi="Arial" w:cs="Arial"/>
          <w:b/>
        </w:rPr>
        <w:t>Corresponding author:</w:t>
      </w:r>
      <w:r w:rsidR="00E53767" w:rsidRPr="00E53767">
        <w:rPr>
          <w:rFonts w:ascii="Arial" w:hAnsi="Arial" w:cs="Arial"/>
        </w:rPr>
        <w:t xml:space="preserve"> </w:t>
      </w:r>
    </w:p>
    <w:p w:rsidR="00E53767" w:rsidRPr="00E53767" w:rsidRDefault="001E556C" w:rsidP="00E53767">
      <w:pPr>
        <w:spacing w:after="0" w:line="360" w:lineRule="auto"/>
        <w:rPr>
          <w:rFonts w:ascii="Arial" w:hAnsi="Arial" w:cs="Arial"/>
        </w:rPr>
      </w:pPr>
      <w:r w:rsidRPr="001E556C">
        <w:rPr>
          <w:rFonts w:ascii="Arial" w:hAnsi="Arial" w:cs="Arial"/>
          <w:b/>
        </w:rPr>
        <w:t>Andrew PA Oxley</w:t>
      </w:r>
      <w:r>
        <w:rPr>
          <w:rFonts w:ascii="Arial" w:hAnsi="Arial" w:cs="Arial"/>
        </w:rPr>
        <w:t xml:space="preserve">: </w:t>
      </w:r>
      <w:r w:rsidR="00E53767" w:rsidRPr="00E53767">
        <w:rPr>
          <w:rFonts w:ascii="Arial" w:hAnsi="Arial" w:cs="Arial"/>
        </w:rPr>
        <w:t>Deakin University, School of Life and Environmental Sciences,</w:t>
      </w:r>
    </w:p>
    <w:p w:rsidR="00E53767" w:rsidRPr="00E53767" w:rsidRDefault="00E53767" w:rsidP="00E53767">
      <w:pPr>
        <w:spacing w:after="0" w:line="360" w:lineRule="auto"/>
        <w:rPr>
          <w:rFonts w:ascii="Arial" w:hAnsi="Arial" w:cs="Arial"/>
        </w:rPr>
      </w:pPr>
      <w:r w:rsidRPr="00E53767">
        <w:rPr>
          <w:rFonts w:ascii="Arial" w:hAnsi="Arial" w:cs="Arial"/>
        </w:rPr>
        <w:t xml:space="preserve">Geelong Waurn Ponds Campus, 75 Pigdons Road, </w:t>
      </w:r>
    </w:p>
    <w:p w:rsidR="00E53767" w:rsidRPr="00E53767" w:rsidRDefault="00E53767" w:rsidP="00E53767">
      <w:pPr>
        <w:spacing w:after="0" w:line="360" w:lineRule="auto"/>
        <w:rPr>
          <w:rFonts w:ascii="Arial" w:hAnsi="Arial" w:cs="Arial"/>
          <w:b/>
        </w:rPr>
      </w:pPr>
      <w:r w:rsidRPr="00E53767">
        <w:rPr>
          <w:rFonts w:ascii="Arial" w:hAnsi="Arial" w:cs="Arial"/>
        </w:rPr>
        <w:t xml:space="preserve">Waurn Ponds, VIC 3216, Australia. Tel.: +61 3 522 73670; Email: </w:t>
      </w:r>
      <w:hyperlink r:id="rId6" w:history="1">
        <w:r w:rsidRPr="00E53767">
          <w:rPr>
            <w:rStyle w:val="Hyperlink"/>
            <w:rFonts w:ascii="Arial" w:hAnsi="Arial" w:cs="Arial"/>
          </w:rPr>
          <w:t>Andrew.Oxley@deakin.edu.au</w:t>
        </w:r>
      </w:hyperlink>
      <w:r w:rsidRPr="00E53767">
        <w:rPr>
          <w:rFonts w:ascii="Arial" w:hAnsi="Arial" w:cs="Arial"/>
        </w:rPr>
        <w:t xml:space="preserve"> </w:t>
      </w:r>
    </w:p>
    <w:p w:rsidR="00E53767" w:rsidRPr="00752C0B" w:rsidRDefault="00E53767" w:rsidP="00E53767">
      <w:pPr>
        <w:pStyle w:val="AuthorList"/>
        <w:spacing w:after="120" w:line="360" w:lineRule="auto"/>
        <w:rPr>
          <w:rFonts w:ascii="Arial" w:hAnsi="Arial" w:cs="Arial"/>
          <w:sz w:val="22"/>
          <w:szCs w:val="22"/>
        </w:rPr>
      </w:pPr>
    </w:p>
    <w:p w:rsidR="00E53767" w:rsidRPr="00752C0B" w:rsidRDefault="00E53767" w:rsidP="00E53767">
      <w:pPr>
        <w:spacing w:after="120" w:line="360" w:lineRule="auto"/>
        <w:rPr>
          <w:rFonts w:ascii="Arial" w:hAnsi="Arial" w:cs="Arial"/>
          <w:b/>
          <w:bCs/>
        </w:rPr>
      </w:pPr>
    </w:p>
    <w:p w:rsidR="00E53767" w:rsidRPr="00752C0B" w:rsidRDefault="00E53767" w:rsidP="00E53767">
      <w:pPr>
        <w:spacing w:after="120" w:line="360" w:lineRule="auto"/>
        <w:rPr>
          <w:rFonts w:ascii="Arial" w:hAnsi="Arial" w:cs="Arial"/>
          <w:b/>
          <w:bCs/>
        </w:rPr>
      </w:pPr>
    </w:p>
    <w:p w:rsidR="00E53767" w:rsidRPr="00752C0B" w:rsidRDefault="00E53767" w:rsidP="00E53767">
      <w:pPr>
        <w:spacing w:after="120" w:line="360" w:lineRule="auto"/>
        <w:rPr>
          <w:rFonts w:ascii="Arial" w:hAnsi="Arial" w:cs="Arial"/>
          <w:b/>
          <w:bCs/>
        </w:rPr>
      </w:pPr>
    </w:p>
    <w:p w:rsidR="00E53767" w:rsidRPr="00752C0B" w:rsidRDefault="00E53767" w:rsidP="00E53767">
      <w:pPr>
        <w:spacing w:after="120" w:line="360" w:lineRule="auto"/>
        <w:rPr>
          <w:rFonts w:ascii="Arial" w:hAnsi="Arial" w:cs="Arial"/>
          <w:b/>
          <w:bCs/>
        </w:rPr>
      </w:pPr>
    </w:p>
    <w:p w:rsidR="00E53767" w:rsidRPr="00752C0B" w:rsidRDefault="00E53767" w:rsidP="00E53767">
      <w:pPr>
        <w:spacing w:after="120" w:line="360" w:lineRule="auto"/>
        <w:rPr>
          <w:rFonts w:ascii="Arial" w:hAnsi="Arial" w:cs="Arial"/>
          <w:b/>
          <w:bCs/>
        </w:rPr>
      </w:pPr>
    </w:p>
    <w:p w:rsidR="00E53767" w:rsidRPr="00E53767" w:rsidRDefault="00E53767" w:rsidP="00E53767">
      <w:pPr>
        <w:spacing w:after="120" w:line="360" w:lineRule="auto"/>
        <w:rPr>
          <w:rFonts w:ascii="Arial" w:hAnsi="Arial" w:cs="Arial"/>
          <w:b/>
          <w:bCs/>
          <w:u w:val="single"/>
        </w:rPr>
      </w:pPr>
    </w:p>
    <w:p w:rsidR="00904421" w:rsidRDefault="000C3027" w:rsidP="00904421">
      <w:pPr>
        <w:spacing w:after="120" w:line="360" w:lineRule="auto"/>
        <w:rPr>
          <w:rFonts w:ascii="Times New Roman" w:hAnsi="Times New Roman" w:cs="Times New Roman"/>
          <w:b/>
          <w:sz w:val="24"/>
          <w:szCs w:val="24"/>
        </w:rPr>
      </w:pPr>
      <w:r>
        <w:rPr>
          <w:rFonts w:ascii="Times New Roman" w:hAnsi="Times New Roman" w:cs="Times New Roman"/>
          <w:b/>
          <w:noProof/>
          <w:sz w:val="24"/>
          <w:szCs w:val="24"/>
          <w:lang w:eastAsia="en-AU"/>
        </w:rPr>
        <w:lastRenderedPageBreak/>
        <w:drawing>
          <wp:inline distT="0" distB="0" distL="0" distR="0">
            <wp:extent cx="5731510" cy="3428548"/>
            <wp:effectExtent l="0" t="0" r="254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 S1.tif"/>
                    <pic:cNvPicPr/>
                  </pic:nvPicPr>
                  <pic:blipFill rotWithShape="1">
                    <a:blip r:embed="rId7" cstate="print">
                      <a:extLst>
                        <a:ext uri="{28A0092B-C50C-407E-A947-70E740481C1C}">
                          <a14:useLocalDpi xmlns:a14="http://schemas.microsoft.com/office/drawing/2010/main" val="0"/>
                        </a:ext>
                      </a:extLst>
                    </a:blip>
                    <a:srcRect t="6941"/>
                    <a:stretch/>
                  </pic:blipFill>
                  <pic:spPr bwMode="auto">
                    <a:xfrm>
                      <a:off x="0" y="0"/>
                      <a:ext cx="5731510" cy="3428548"/>
                    </a:xfrm>
                    <a:prstGeom prst="rect">
                      <a:avLst/>
                    </a:prstGeom>
                    <a:ln>
                      <a:noFill/>
                    </a:ln>
                    <a:extLst>
                      <a:ext uri="{53640926-AAD7-44D8-BBD7-CCE9431645EC}">
                        <a14:shadowObscured xmlns:a14="http://schemas.microsoft.com/office/drawing/2010/main"/>
                      </a:ext>
                    </a:extLst>
                  </pic:spPr>
                </pic:pic>
              </a:graphicData>
            </a:graphic>
          </wp:inline>
        </w:drawing>
      </w:r>
    </w:p>
    <w:p w:rsidR="00904421" w:rsidRPr="00E04948" w:rsidRDefault="00E53767" w:rsidP="00EE2699">
      <w:pPr>
        <w:spacing w:after="120" w:line="240" w:lineRule="auto"/>
        <w:rPr>
          <w:rFonts w:ascii="Arial" w:hAnsi="Arial" w:cs="Arial"/>
          <w:sz w:val="20"/>
          <w:szCs w:val="20"/>
        </w:rPr>
      </w:pPr>
      <w:r>
        <w:rPr>
          <w:rFonts w:ascii="Arial" w:hAnsi="Arial" w:cs="Arial"/>
          <w:b/>
          <w:sz w:val="20"/>
          <w:szCs w:val="20"/>
        </w:rPr>
        <w:t>Supplementary Fig. 1</w:t>
      </w:r>
      <w:r w:rsidR="00904421" w:rsidRPr="00E04948">
        <w:rPr>
          <w:rFonts w:ascii="Arial" w:hAnsi="Arial" w:cs="Arial"/>
          <w:sz w:val="20"/>
          <w:szCs w:val="20"/>
        </w:rPr>
        <w:t xml:space="preserve"> Rarefaction curves depicting the number of resolved OTUs against sequencing depth of the 122 samples collected in summer and winter (6 seawater, and 60 oyster and 56 mussel gut samples).</w:t>
      </w:r>
    </w:p>
    <w:p w:rsidR="00286F99" w:rsidRDefault="00286F99" w:rsidP="00EE2699">
      <w:pPr>
        <w:spacing w:line="240" w:lineRule="auto"/>
        <w:sectPr w:rsidR="00286F99">
          <w:pgSz w:w="11906" w:h="16838"/>
          <w:pgMar w:top="1440" w:right="1440" w:bottom="1440" w:left="1440" w:header="708" w:footer="708" w:gutter="0"/>
          <w:cols w:space="708"/>
          <w:docGrid w:linePitch="360"/>
        </w:sectPr>
      </w:pPr>
    </w:p>
    <w:p w:rsidR="00286F99" w:rsidRDefault="00286F99" w:rsidP="00286F99">
      <w:r>
        <w:rPr>
          <w:noProof/>
          <w:lang w:eastAsia="en-AU"/>
        </w:rPr>
        <w:lastRenderedPageBreak/>
        <w:drawing>
          <wp:inline distT="0" distB="0" distL="0" distR="0" wp14:anchorId="32F6E458" wp14:editId="44A2C18F">
            <wp:extent cx="5731510" cy="3218815"/>
            <wp:effectExtent l="0" t="0" r="2540" b="63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Length vs weight.tif"/>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218815"/>
                    </a:xfrm>
                    <a:prstGeom prst="rect">
                      <a:avLst/>
                    </a:prstGeom>
                  </pic:spPr>
                </pic:pic>
              </a:graphicData>
            </a:graphic>
          </wp:inline>
        </w:drawing>
      </w:r>
    </w:p>
    <w:p w:rsidR="00286F99" w:rsidRPr="00286F99" w:rsidRDefault="00E53767" w:rsidP="00286F99">
      <w:pPr>
        <w:spacing w:after="120" w:line="269" w:lineRule="auto"/>
        <w:rPr>
          <w:rFonts w:ascii="Arial" w:hAnsi="Arial" w:cs="Arial"/>
          <w:sz w:val="20"/>
          <w:szCs w:val="20"/>
        </w:rPr>
      </w:pPr>
      <w:r>
        <w:rPr>
          <w:rFonts w:ascii="Arial" w:hAnsi="Arial" w:cs="Arial"/>
          <w:b/>
          <w:sz w:val="20"/>
          <w:szCs w:val="20"/>
        </w:rPr>
        <w:t>Supplementary Fig. 2</w:t>
      </w:r>
      <w:r w:rsidR="00286F99" w:rsidRPr="00286F99">
        <w:rPr>
          <w:rFonts w:ascii="Arial" w:hAnsi="Arial" w:cs="Arial"/>
          <w:sz w:val="20"/>
          <w:szCs w:val="20"/>
        </w:rPr>
        <w:t xml:space="preserve"> Scatter plot displaying the lengths vs weights of oyster and mussels collected in summer and winter for bacterial community analysis from Coffin Bay, South Australia.</w:t>
      </w:r>
    </w:p>
    <w:p w:rsidR="00286F99" w:rsidRDefault="00286F99" w:rsidP="00286F99">
      <w:pPr>
        <w:spacing w:after="120" w:line="269" w:lineRule="auto"/>
      </w:pPr>
    </w:p>
    <w:p w:rsidR="00E43B0F" w:rsidRDefault="00E43B0F" w:rsidP="00EE2699">
      <w:pPr>
        <w:spacing w:line="240" w:lineRule="auto"/>
      </w:pPr>
    </w:p>
    <w:p w:rsidR="00F22B1B" w:rsidRDefault="00F22B1B"/>
    <w:p w:rsidR="00286F99" w:rsidRDefault="00286F99">
      <w:pPr>
        <w:sectPr w:rsidR="00286F99">
          <w:pgSz w:w="11906" w:h="16838"/>
          <w:pgMar w:top="1440" w:right="1440" w:bottom="1440" w:left="1440" w:header="708" w:footer="708" w:gutter="0"/>
          <w:cols w:space="708"/>
          <w:docGrid w:linePitch="360"/>
        </w:sectPr>
      </w:pPr>
    </w:p>
    <w:p w:rsidR="00286F99" w:rsidRDefault="00286F99" w:rsidP="00286F99">
      <w:pPr>
        <w:rPr>
          <w:rFonts w:ascii="Times New Roman" w:hAnsi="Times New Roman" w:cs="Times New Roman"/>
          <w:noProof/>
          <w:sz w:val="24"/>
          <w:szCs w:val="24"/>
          <w:lang w:eastAsia="en-AU"/>
        </w:rPr>
      </w:pPr>
      <w:bookmarkStart w:id="0" w:name="_GoBack"/>
      <w:bookmarkEnd w:id="0"/>
      <w:r>
        <w:rPr>
          <w:rFonts w:ascii="Times New Roman" w:hAnsi="Times New Roman" w:cs="Times New Roman"/>
          <w:noProof/>
          <w:sz w:val="24"/>
          <w:szCs w:val="24"/>
          <w:lang w:eastAsia="en-AU"/>
        </w:rPr>
        <w:lastRenderedPageBreak/>
        <w:drawing>
          <wp:inline distT="0" distB="0" distL="0" distR="0" wp14:anchorId="0DA79191" wp14:editId="708832D4">
            <wp:extent cx="5731510" cy="3865880"/>
            <wp:effectExtent l="0" t="0" r="2540" b="127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Oysters vs mussels.tif"/>
                    <pic:cNvPicPr/>
                  </pic:nvPicPr>
                  <pic:blipFill>
                    <a:blip r:embed="rId9" cstate="print">
                      <a:extLst>
                        <a:ext uri="{28A0092B-C50C-407E-A947-70E740481C1C}">
                          <a14:useLocalDpi xmlns:a14="http://schemas.microsoft.com/office/drawing/2010/main" val="0"/>
                        </a:ext>
                      </a:extLst>
                    </a:blip>
                    <a:stretch>
                      <a:fillRect/>
                    </a:stretch>
                  </pic:blipFill>
                  <pic:spPr>
                    <a:xfrm>
                      <a:off x="0" y="0"/>
                      <a:ext cx="5731510" cy="3865880"/>
                    </a:xfrm>
                    <a:prstGeom prst="rect">
                      <a:avLst/>
                    </a:prstGeom>
                  </pic:spPr>
                </pic:pic>
              </a:graphicData>
            </a:graphic>
          </wp:inline>
        </w:drawing>
      </w:r>
    </w:p>
    <w:p w:rsidR="00286F99" w:rsidRPr="00286F99" w:rsidRDefault="00E53767" w:rsidP="00286F99">
      <w:pPr>
        <w:spacing w:after="120" w:line="269" w:lineRule="auto"/>
        <w:rPr>
          <w:rFonts w:ascii="Arial" w:hAnsi="Arial" w:cs="Arial"/>
          <w:sz w:val="20"/>
          <w:szCs w:val="20"/>
        </w:rPr>
      </w:pPr>
      <w:r>
        <w:rPr>
          <w:rFonts w:ascii="Arial" w:hAnsi="Arial" w:cs="Arial"/>
          <w:b/>
          <w:sz w:val="20"/>
          <w:szCs w:val="20"/>
        </w:rPr>
        <w:t>Supplementary Fig. 3</w:t>
      </w:r>
      <w:r w:rsidR="00286F99" w:rsidRPr="00286F99">
        <w:rPr>
          <w:rFonts w:ascii="Arial" w:hAnsi="Arial" w:cs="Arial"/>
          <w:sz w:val="20"/>
          <w:szCs w:val="20"/>
        </w:rPr>
        <w:t xml:space="preserve"> Linear Discriminant Analysis (LDA) Effect Size (LEfSe) bar plots displaying the differentially abundant bacterial families (A) and top 25 OTUs (B) from mussel and oyster gut samples obtained in from Coffin Bay, South Australia (irrespective of the summer or winter month of sampling). Differentially abundant features were determined using the Kruskal-Wallis rank test (adjusted </w:t>
      </w:r>
      <w:r w:rsidR="00286F99" w:rsidRPr="00286F99">
        <w:rPr>
          <w:rFonts w:ascii="Arial" w:hAnsi="Arial" w:cs="Arial"/>
          <w:i/>
          <w:sz w:val="20"/>
          <w:szCs w:val="20"/>
        </w:rPr>
        <w:t>p</w:t>
      </w:r>
      <w:r w:rsidR="00286F99" w:rsidRPr="00286F99">
        <w:rPr>
          <w:rFonts w:ascii="Arial" w:hAnsi="Arial" w:cs="Arial"/>
          <w:sz w:val="20"/>
          <w:szCs w:val="20"/>
        </w:rPr>
        <w:t xml:space="preserve">-value [FDR] cut-off = 0.01), with the Log LDA Score value adjusted to 2.0 and significant taxa given in descending order from the highest to lowest LDA score. </w:t>
      </w:r>
    </w:p>
    <w:p w:rsidR="00F22B1B" w:rsidRDefault="00F22B1B"/>
    <w:p w:rsidR="00F22B1B" w:rsidRDefault="00F22B1B"/>
    <w:p w:rsidR="00F22B1B" w:rsidRDefault="00F22B1B"/>
    <w:p w:rsidR="00F22B1B" w:rsidRDefault="00F22B1B"/>
    <w:p w:rsidR="00F22B1B" w:rsidRDefault="00F22B1B"/>
    <w:p w:rsidR="00F22B1B" w:rsidRDefault="00F22B1B"/>
    <w:p w:rsidR="00F22B1B" w:rsidRDefault="00F22B1B"/>
    <w:p w:rsidR="00F22B1B" w:rsidRDefault="00F22B1B"/>
    <w:p w:rsidR="00F22B1B" w:rsidRDefault="00F22B1B"/>
    <w:p w:rsidR="00F22B1B" w:rsidRDefault="00F22B1B">
      <w:pPr>
        <w:sectPr w:rsidR="00F22B1B">
          <w:pgSz w:w="11906" w:h="16838"/>
          <w:pgMar w:top="1440" w:right="1440" w:bottom="1440" w:left="1440" w:header="708" w:footer="708" w:gutter="0"/>
          <w:cols w:space="708"/>
          <w:docGrid w:linePitch="360"/>
        </w:sectPr>
      </w:pPr>
    </w:p>
    <w:tbl>
      <w:tblPr>
        <w:tblpPr w:leftFromText="180" w:rightFromText="180" w:vertAnchor="text" w:horzAnchor="margin" w:tblpY="-179"/>
        <w:tblW w:w="14742" w:type="dxa"/>
        <w:tblLook w:val="04A0" w:firstRow="1" w:lastRow="0" w:firstColumn="1" w:lastColumn="0" w:noHBand="0" w:noVBand="1"/>
      </w:tblPr>
      <w:tblGrid>
        <w:gridCol w:w="1929"/>
        <w:gridCol w:w="1190"/>
        <w:gridCol w:w="1843"/>
        <w:gridCol w:w="2409"/>
        <w:gridCol w:w="2694"/>
        <w:gridCol w:w="1984"/>
        <w:gridCol w:w="2693"/>
      </w:tblGrid>
      <w:tr w:rsidR="00E555C5" w:rsidRPr="00E555C5" w:rsidTr="0045452D">
        <w:trPr>
          <w:trHeight w:val="310"/>
        </w:trPr>
        <w:tc>
          <w:tcPr>
            <w:tcW w:w="1929" w:type="dxa"/>
            <w:vMerge w:val="restart"/>
            <w:tcBorders>
              <w:top w:val="single" w:sz="4" w:space="0" w:color="auto"/>
              <w:left w:val="nil"/>
              <w:bottom w:val="single" w:sz="4" w:space="0" w:color="auto"/>
              <w:right w:val="nil"/>
            </w:tcBorders>
            <w:shd w:val="clear" w:color="auto" w:fill="auto"/>
            <w:noWrap/>
            <w:vAlign w:val="bottom"/>
            <w:hideMark/>
          </w:tcPr>
          <w:p w:rsidR="00E555C5" w:rsidRPr="00E555C5" w:rsidRDefault="00E70498" w:rsidP="00E555C5">
            <w:pPr>
              <w:spacing w:after="0" w:line="240" w:lineRule="auto"/>
              <w:rPr>
                <w:rFonts w:ascii="Arial" w:eastAsia="Times New Roman" w:hAnsi="Arial" w:cs="Arial"/>
                <w:b/>
                <w:bCs/>
                <w:color w:val="000000"/>
                <w:sz w:val="19"/>
                <w:szCs w:val="19"/>
                <w:lang w:eastAsia="en-AU"/>
              </w:rPr>
            </w:pPr>
            <w:r>
              <w:rPr>
                <w:rFonts w:ascii="Arial" w:eastAsia="Times New Roman" w:hAnsi="Arial" w:cs="Arial"/>
                <w:b/>
                <w:bCs/>
                <w:color w:val="000000"/>
                <w:sz w:val="19"/>
                <w:szCs w:val="19"/>
                <w:lang w:eastAsia="en-AU"/>
              </w:rPr>
              <w:lastRenderedPageBreak/>
              <w:t>Phyla</w:t>
            </w:r>
          </w:p>
        </w:tc>
        <w:tc>
          <w:tcPr>
            <w:tcW w:w="1190" w:type="dxa"/>
            <w:vMerge w:val="restart"/>
            <w:tcBorders>
              <w:top w:val="single" w:sz="4" w:space="0" w:color="auto"/>
              <w:left w:val="nil"/>
              <w:bottom w:val="single" w:sz="4" w:space="0" w:color="auto"/>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FDR</w:t>
            </w:r>
          </w:p>
        </w:tc>
        <w:tc>
          <w:tcPr>
            <w:tcW w:w="1843" w:type="dxa"/>
            <w:vMerge w:val="restart"/>
            <w:tcBorders>
              <w:top w:val="single" w:sz="4" w:space="0" w:color="auto"/>
              <w:left w:val="nil"/>
              <w:bottom w:val="single" w:sz="4" w:space="0" w:color="auto"/>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LDA score</w:t>
            </w:r>
          </w:p>
        </w:tc>
        <w:tc>
          <w:tcPr>
            <w:tcW w:w="9780" w:type="dxa"/>
            <w:gridSpan w:val="4"/>
            <w:tcBorders>
              <w:top w:val="single" w:sz="4" w:space="0" w:color="auto"/>
              <w:left w:val="nil"/>
              <w:bottom w:val="nil"/>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Mean abundance (%)</w:t>
            </w:r>
          </w:p>
        </w:tc>
      </w:tr>
      <w:tr w:rsidR="00E555C5" w:rsidRPr="00E555C5" w:rsidTr="0045452D">
        <w:trPr>
          <w:trHeight w:val="310"/>
        </w:trPr>
        <w:tc>
          <w:tcPr>
            <w:tcW w:w="1929" w:type="dxa"/>
            <w:vMerge/>
            <w:tcBorders>
              <w:top w:val="single" w:sz="4" w:space="0" w:color="auto"/>
              <w:left w:val="nil"/>
              <w:bottom w:val="single" w:sz="4" w:space="0" w:color="auto"/>
              <w:right w:val="nil"/>
            </w:tcBorders>
            <w:vAlign w:val="center"/>
            <w:hideMark/>
          </w:tcPr>
          <w:p w:rsidR="00E555C5" w:rsidRPr="00E555C5" w:rsidRDefault="00E555C5" w:rsidP="00E555C5">
            <w:pPr>
              <w:spacing w:after="0" w:line="240" w:lineRule="auto"/>
              <w:rPr>
                <w:rFonts w:ascii="Arial" w:eastAsia="Times New Roman" w:hAnsi="Arial" w:cs="Arial"/>
                <w:b/>
                <w:bCs/>
                <w:color w:val="000000"/>
                <w:sz w:val="19"/>
                <w:szCs w:val="19"/>
                <w:lang w:eastAsia="en-AU"/>
              </w:rPr>
            </w:pPr>
          </w:p>
        </w:tc>
        <w:tc>
          <w:tcPr>
            <w:tcW w:w="1190" w:type="dxa"/>
            <w:vMerge/>
            <w:tcBorders>
              <w:top w:val="single" w:sz="4" w:space="0" w:color="auto"/>
              <w:left w:val="nil"/>
              <w:bottom w:val="single" w:sz="4" w:space="0" w:color="auto"/>
              <w:right w:val="nil"/>
            </w:tcBorders>
            <w:vAlign w:val="center"/>
            <w:hideMark/>
          </w:tcPr>
          <w:p w:rsidR="00E555C5" w:rsidRPr="00E555C5" w:rsidRDefault="00E555C5" w:rsidP="00E555C5">
            <w:pPr>
              <w:spacing w:after="0" w:line="240" w:lineRule="auto"/>
              <w:rPr>
                <w:rFonts w:ascii="Arial" w:eastAsia="Times New Roman" w:hAnsi="Arial" w:cs="Arial"/>
                <w:b/>
                <w:bCs/>
                <w:color w:val="000000"/>
                <w:sz w:val="19"/>
                <w:szCs w:val="19"/>
                <w:lang w:eastAsia="en-AU"/>
              </w:rPr>
            </w:pPr>
          </w:p>
        </w:tc>
        <w:tc>
          <w:tcPr>
            <w:tcW w:w="1843" w:type="dxa"/>
            <w:vMerge/>
            <w:tcBorders>
              <w:top w:val="single" w:sz="4" w:space="0" w:color="auto"/>
              <w:left w:val="nil"/>
              <w:bottom w:val="single" w:sz="4" w:space="0" w:color="auto"/>
              <w:right w:val="nil"/>
            </w:tcBorders>
            <w:vAlign w:val="center"/>
            <w:hideMark/>
          </w:tcPr>
          <w:p w:rsidR="00E555C5" w:rsidRPr="00E555C5" w:rsidRDefault="00E555C5" w:rsidP="00E555C5">
            <w:pPr>
              <w:spacing w:after="0" w:line="240" w:lineRule="auto"/>
              <w:rPr>
                <w:rFonts w:ascii="Arial" w:eastAsia="Times New Roman" w:hAnsi="Arial" w:cs="Arial"/>
                <w:b/>
                <w:bCs/>
                <w:color w:val="000000"/>
                <w:sz w:val="19"/>
                <w:szCs w:val="19"/>
                <w:lang w:eastAsia="en-AU"/>
              </w:rPr>
            </w:pPr>
          </w:p>
        </w:tc>
        <w:tc>
          <w:tcPr>
            <w:tcW w:w="2409" w:type="dxa"/>
            <w:tcBorders>
              <w:top w:val="nil"/>
              <w:left w:val="nil"/>
              <w:bottom w:val="nil"/>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Mussels (summer)</w:t>
            </w:r>
          </w:p>
        </w:tc>
        <w:tc>
          <w:tcPr>
            <w:tcW w:w="2694" w:type="dxa"/>
            <w:tcBorders>
              <w:top w:val="nil"/>
              <w:left w:val="nil"/>
              <w:bottom w:val="nil"/>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Mussels (winter)</w:t>
            </w:r>
          </w:p>
        </w:tc>
        <w:tc>
          <w:tcPr>
            <w:tcW w:w="1984" w:type="dxa"/>
            <w:tcBorders>
              <w:top w:val="nil"/>
              <w:left w:val="nil"/>
              <w:bottom w:val="nil"/>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Oysters (summer)</w:t>
            </w:r>
          </w:p>
        </w:tc>
        <w:tc>
          <w:tcPr>
            <w:tcW w:w="2693" w:type="dxa"/>
            <w:tcBorders>
              <w:top w:val="nil"/>
              <w:left w:val="nil"/>
              <w:bottom w:val="nil"/>
              <w:right w:val="nil"/>
            </w:tcBorders>
            <w:shd w:val="clear" w:color="auto" w:fill="auto"/>
            <w:noWrap/>
            <w:vAlign w:val="bottom"/>
            <w:hideMark/>
          </w:tcPr>
          <w:p w:rsidR="00E555C5" w:rsidRPr="00E555C5" w:rsidRDefault="00E555C5" w:rsidP="00E555C5">
            <w:pPr>
              <w:spacing w:after="0" w:line="240" w:lineRule="auto"/>
              <w:jc w:val="center"/>
              <w:rPr>
                <w:rFonts w:ascii="Arial" w:eastAsia="Times New Roman" w:hAnsi="Arial" w:cs="Arial"/>
                <w:b/>
                <w:bCs/>
                <w:color w:val="000000"/>
                <w:sz w:val="19"/>
                <w:szCs w:val="19"/>
                <w:lang w:eastAsia="en-AU"/>
              </w:rPr>
            </w:pPr>
            <w:r w:rsidRPr="00E555C5">
              <w:rPr>
                <w:rFonts w:ascii="Arial" w:eastAsia="Times New Roman" w:hAnsi="Arial" w:cs="Arial"/>
                <w:b/>
                <w:bCs/>
                <w:color w:val="000000"/>
                <w:sz w:val="19"/>
                <w:szCs w:val="19"/>
                <w:lang w:eastAsia="en-AU"/>
              </w:rPr>
              <w:t>Oysters (winter)</w:t>
            </w:r>
          </w:p>
        </w:tc>
      </w:tr>
      <w:tr w:rsidR="00E555C5" w:rsidRPr="00E555C5" w:rsidTr="0045452D">
        <w:trPr>
          <w:trHeight w:val="770"/>
        </w:trPr>
        <w:tc>
          <w:tcPr>
            <w:tcW w:w="1929" w:type="dxa"/>
            <w:tcBorders>
              <w:top w:val="single" w:sz="4" w:space="0" w:color="auto"/>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Tenericutes</w:t>
            </w:r>
          </w:p>
        </w:tc>
        <w:tc>
          <w:tcPr>
            <w:tcW w:w="1190" w:type="dxa"/>
            <w:tcBorders>
              <w:top w:val="single" w:sz="4" w:space="0" w:color="auto"/>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1.32E-13</w:t>
            </w:r>
          </w:p>
        </w:tc>
        <w:tc>
          <w:tcPr>
            <w:tcW w:w="1843" w:type="dxa"/>
            <w:tcBorders>
              <w:top w:val="single" w:sz="4" w:space="0" w:color="auto"/>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5.44</w:t>
            </w:r>
          </w:p>
        </w:tc>
        <w:tc>
          <w:tcPr>
            <w:tcW w:w="2409" w:type="dxa"/>
            <w:tcBorders>
              <w:top w:val="single" w:sz="4" w:space="0" w:color="auto"/>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80.806</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56.999, max 92.052)</w:t>
            </w:r>
          </w:p>
        </w:tc>
        <w:tc>
          <w:tcPr>
            <w:tcW w:w="2694" w:type="dxa"/>
            <w:tcBorders>
              <w:top w:val="single" w:sz="4" w:space="0" w:color="auto"/>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36.112</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8.0639, max 74.185)</w:t>
            </w:r>
          </w:p>
        </w:tc>
        <w:tc>
          <w:tcPr>
            <w:tcW w:w="1984" w:type="dxa"/>
            <w:tcBorders>
              <w:top w:val="single" w:sz="4" w:space="0" w:color="auto"/>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64.148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23.744, max 91.952)</w:t>
            </w:r>
          </w:p>
        </w:tc>
        <w:tc>
          <w:tcPr>
            <w:tcW w:w="2693" w:type="dxa"/>
            <w:tcBorders>
              <w:top w:val="single" w:sz="4" w:space="0" w:color="auto"/>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26.794</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3.169, max 78.608)</w:t>
            </w:r>
          </w:p>
        </w:tc>
      </w:tr>
      <w:tr w:rsidR="00E555C5" w:rsidRPr="00E555C5" w:rsidTr="0045452D">
        <w:trPr>
          <w:trHeight w:val="77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Proteobacteria</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5.31E-15</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5.4</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6.252</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2.782, max 13.796)</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35.989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16.201, max 56.143)</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21.319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5.176, max 57.648)</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56.697</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14.913, max 87.219)</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Bacteroidetes</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1.59E-15</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4.82</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1.622</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0.481, max 5.766)</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14.030</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2.190, max 23.387)</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0.502</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0.042, max 4.023)</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1.749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0.430, max 5.536)</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Spirochaetes</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3.03E-11</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4.46</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3.363</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0.320, max 14.052)</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0.537</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2.938)</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6.485</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0.417, max 37.876)</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0.669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4.613)</w:t>
            </w:r>
          </w:p>
        </w:tc>
      </w:tr>
      <w:tr w:rsidR="00E555C5" w:rsidRPr="00E555C5" w:rsidTr="0045452D">
        <w:trPr>
          <w:trHeight w:val="77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Actinobacteria</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4.52E-15</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4.38</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0.398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0.119, max 1.121)</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4.511</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1.397, max 11.433)</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0.542</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0.023, max 2.260)</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5.208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0.938, max 14.344)</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Fusobacteria</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1.94E-08</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2.134</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0.185, max 8.864)</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0.735</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8.335)</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0.113</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0.803)</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0.141</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1.486)</w:t>
            </w:r>
          </w:p>
        </w:tc>
      </w:tr>
      <w:tr w:rsidR="00E555C5" w:rsidRPr="00E555C5" w:rsidTr="0045452D">
        <w:trPr>
          <w:trHeight w:val="77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Firmicutes</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4.52E-15</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3.83</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0.100</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0.020, max 0.267)</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1.049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0.429, max 2.626)</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0.178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0.006, max 0.616)</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1.448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0.2956, max 2.901)</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Chloroflexi</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1.89E-15</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3.77</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0.016</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0.002, max 0.050)</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1.186</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0.072, max 3.906)</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0.016</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0.075)</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0.334</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1.010)</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Epsilonbacteraeota</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5.18E-11</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3.5</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0.010</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0.026)</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0.258</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0.110, max 0.449)</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0.413</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1.248)</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0.647</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0.136 max 2.424)</w:t>
            </w:r>
          </w:p>
        </w:tc>
      </w:tr>
      <w:tr w:rsidR="00E555C5" w:rsidRPr="00E555C5" w:rsidTr="0045452D">
        <w:trPr>
          <w:trHeight w:val="520"/>
        </w:trPr>
        <w:tc>
          <w:tcPr>
            <w:tcW w:w="1929"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Verrucomicrobia</w:t>
            </w:r>
          </w:p>
        </w:tc>
        <w:tc>
          <w:tcPr>
            <w:tcW w:w="1190"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2.18E-13</w:t>
            </w:r>
          </w:p>
        </w:tc>
        <w:tc>
          <w:tcPr>
            <w:tcW w:w="1843" w:type="dxa"/>
            <w:tcBorders>
              <w:top w:val="nil"/>
              <w:left w:val="nil"/>
              <w:bottom w:val="nil"/>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3.4</w:t>
            </w:r>
          </w:p>
        </w:tc>
        <w:tc>
          <w:tcPr>
            <w:tcW w:w="2409"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0.026</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0.090)</w:t>
            </w:r>
          </w:p>
        </w:tc>
        <w:tc>
          <w:tcPr>
            <w:tcW w:w="269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0.507</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0.005, max 1.375)</w:t>
            </w:r>
          </w:p>
        </w:tc>
        <w:tc>
          <w:tcPr>
            <w:tcW w:w="1984"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0.013</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0.091)</w:t>
            </w:r>
          </w:p>
        </w:tc>
        <w:tc>
          <w:tcPr>
            <w:tcW w:w="2693" w:type="dxa"/>
            <w:tcBorders>
              <w:top w:val="nil"/>
              <w:left w:val="nil"/>
              <w:bottom w:val="nil"/>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0.009</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0.041)</w:t>
            </w:r>
          </w:p>
        </w:tc>
      </w:tr>
      <w:tr w:rsidR="00E555C5" w:rsidRPr="00E555C5" w:rsidTr="0045452D">
        <w:trPr>
          <w:trHeight w:val="520"/>
        </w:trPr>
        <w:tc>
          <w:tcPr>
            <w:tcW w:w="1929" w:type="dxa"/>
            <w:tcBorders>
              <w:top w:val="nil"/>
              <w:left w:val="nil"/>
              <w:bottom w:val="single" w:sz="4" w:space="0" w:color="auto"/>
              <w:right w:val="nil"/>
            </w:tcBorders>
            <w:shd w:val="clear" w:color="auto" w:fill="auto"/>
            <w:noWrap/>
            <w:vAlign w:val="center"/>
            <w:hideMark/>
          </w:tcPr>
          <w:p w:rsidR="00E555C5" w:rsidRPr="00E555C5" w:rsidRDefault="00E555C5" w:rsidP="00E555C5">
            <w:pPr>
              <w:spacing w:after="0" w:line="240" w:lineRule="auto"/>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Acidobacteria</w:t>
            </w:r>
          </w:p>
        </w:tc>
        <w:tc>
          <w:tcPr>
            <w:tcW w:w="1190" w:type="dxa"/>
            <w:tcBorders>
              <w:top w:val="nil"/>
              <w:left w:val="nil"/>
              <w:bottom w:val="single" w:sz="4" w:space="0" w:color="auto"/>
              <w:right w:val="nil"/>
            </w:tcBorders>
            <w:shd w:val="clear" w:color="auto" w:fill="auto"/>
            <w:noWrap/>
            <w:vAlign w:val="center"/>
            <w:hideMark/>
          </w:tcPr>
          <w:p w:rsidR="00E555C5" w:rsidRPr="00E555C5" w:rsidRDefault="00E555C5" w:rsidP="00E555C5">
            <w:pPr>
              <w:spacing w:after="0" w:line="240" w:lineRule="auto"/>
              <w:jc w:val="right"/>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6.60E-11</w:t>
            </w:r>
          </w:p>
        </w:tc>
        <w:tc>
          <w:tcPr>
            <w:tcW w:w="1843" w:type="dxa"/>
            <w:tcBorders>
              <w:top w:val="nil"/>
              <w:left w:val="nil"/>
              <w:bottom w:val="single" w:sz="4" w:space="0" w:color="auto"/>
              <w:right w:val="nil"/>
            </w:tcBorders>
            <w:shd w:val="clear" w:color="auto" w:fill="auto"/>
            <w:noWrap/>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2.91</w:t>
            </w:r>
          </w:p>
        </w:tc>
        <w:tc>
          <w:tcPr>
            <w:tcW w:w="2409" w:type="dxa"/>
            <w:tcBorders>
              <w:top w:val="nil"/>
              <w:left w:val="nil"/>
              <w:bottom w:val="single" w:sz="4" w:space="0" w:color="auto"/>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0.004</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0.013)</w:t>
            </w:r>
          </w:p>
        </w:tc>
        <w:tc>
          <w:tcPr>
            <w:tcW w:w="2694" w:type="dxa"/>
            <w:tcBorders>
              <w:top w:val="nil"/>
              <w:left w:val="nil"/>
              <w:bottom w:val="single" w:sz="4" w:space="0" w:color="auto"/>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0.090</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0.264)</w:t>
            </w:r>
          </w:p>
        </w:tc>
        <w:tc>
          <w:tcPr>
            <w:tcW w:w="1984" w:type="dxa"/>
            <w:tcBorders>
              <w:top w:val="nil"/>
              <w:left w:val="nil"/>
              <w:bottom w:val="single" w:sz="4" w:space="0" w:color="auto"/>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0.004</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0.030)</w:t>
            </w:r>
          </w:p>
        </w:tc>
        <w:tc>
          <w:tcPr>
            <w:tcW w:w="2693" w:type="dxa"/>
            <w:tcBorders>
              <w:top w:val="nil"/>
              <w:left w:val="nil"/>
              <w:bottom w:val="single" w:sz="4" w:space="0" w:color="auto"/>
              <w:right w:val="nil"/>
            </w:tcBorders>
            <w:shd w:val="clear" w:color="auto" w:fill="auto"/>
            <w:vAlign w:val="center"/>
            <w:hideMark/>
          </w:tcPr>
          <w:p w:rsidR="00E555C5" w:rsidRPr="00E555C5" w:rsidRDefault="00E555C5" w:rsidP="00E555C5">
            <w:pPr>
              <w:spacing w:after="0" w:line="240" w:lineRule="auto"/>
              <w:jc w:val="center"/>
              <w:rPr>
                <w:rFonts w:ascii="Arial" w:eastAsia="Times New Roman" w:hAnsi="Arial" w:cs="Arial"/>
                <w:color w:val="000000"/>
                <w:sz w:val="19"/>
                <w:szCs w:val="19"/>
                <w:lang w:eastAsia="en-AU"/>
              </w:rPr>
            </w:pPr>
            <w:r w:rsidRPr="00E555C5">
              <w:rPr>
                <w:rFonts w:ascii="Arial" w:eastAsia="Times New Roman" w:hAnsi="Arial" w:cs="Arial"/>
                <w:color w:val="000000"/>
                <w:sz w:val="19"/>
                <w:szCs w:val="19"/>
                <w:lang w:eastAsia="en-AU"/>
              </w:rPr>
              <w:t>0.165</w:t>
            </w:r>
            <w:r w:rsidRPr="00E555C5">
              <w:rPr>
                <w:rFonts w:ascii="Arial" w:eastAsia="Times New Roman" w:hAnsi="Arial" w:cs="Arial"/>
                <w:color w:val="000000"/>
                <w:sz w:val="19"/>
                <w:szCs w:val="19"/>
                <w:lang w:eastAsia="en-AU"/>
              </w:rPr>
              <w:br/>
            </w:r>
            <w:r w:rsidRPr="00E555C5">
              <w:rPr>
                <w:rFonts w:ascii="Arial" w:eastAsia="Times New Roman" w:hAnsi="Arial" w:cs="Arial"/>
                <w:color w:val="000000"/>
                <w:sz w:val="16"/>
                <w:szCs w:val="16"/>
                <w:lang w:eastAsia="en-AU"/>
              </w:rPr>
              <w:t>(min 0, max 0.468)</w:t>
            </w:r>
          </w:p>
        </w:tc>
      </w:tr>
    </w:tbl>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E555C5" w:rsidRDefault="00E555C5" w:rsidP="00E555C5">
      <w:pPr>
        <w:spacing w:line="269" w:lineRule="auto"/>
      </w:pPr>
    </w:p>
    <w:p w:rsidR="00CB7221" w:rsidRDefault="00CB7221" w:rsidP="00E04948">
      <w:pPr>
        <w:spacing w:before="120" w:after="0" w:line="269" w:lineRule="auto"/>
        <w:rPr>
          <w:rFonts w:ascii="Arial" w:hAnsi="Arial" w:cs="Arial"/>
          <w:b/>
          <w:bCs/>
        </w:rPr>
      </w:pPr>
    </w:p>
    <w:p w:rsidR="00E555C5" w:rsidRPr="00E04948" w:rsidRDefault="00E53767" w:rsidP="00EE2699">
      <w:pPr>
        <w:spacing w:before="120" w:after="0" w:line="240" w:lineRule="auto"/>
        <w:rPr>
          <w:rFonts w:ascii="Arial" w:hAnsi="Arial" w:cs="Arial"/>
          <w:bCs/>
          <w:sz w:val="20"/>
          <w:szCs w:val="20"/>
        </w:rPr>
      </w:pPr>
      <w:r>
        <w:rPr>
          <w:rFonts w:ascii="Arial" w:hAnsi="Arial" w:cs="Arial"/>
          <w:b/>
          <w:bCs/>
          <w:sz w:val="20"/>
          <w:szCs w:val="20"/>
        </w:rPr>
        <w:t>Supplementary Table 1</w:t>
      </w:r>
      <w:r w:rsidR="00E555C5" w:rsidRPr="00E04948">
        <w:rPr>
          <w:rFonts w:ascii="Arial" w:hAnsi="Arial" w:cs="Arial"/>
          <w:b/>
          <w:bCs/>
          <w:sz w:val="20"/>
          <w:szCs w:val="20"/>
        </w:rPr>
        <w:t xml:space="preserve"> </w:t>
      </w:r>
      <w:r w:rsidR="00E555C5" w:rsidRPr="00E04948">
        <w:rPr>
          <w:rFonts w:ascii="Arial" w:hAnsi="Arial" w:cs="Arial"/>
          <w:bCs/>
          <w:sz w:val="20"/>
          <w:szCs w:val="20"/>
        </w:rPr>
        <w:t>List of the significant differentially abundant phyla observed from oyster and mussel gut samples obtained in summer and winter as determined using the Kruskal-Wallis rank test (adjusted p-value [FDR] cut-off = 0.01). The Log LDA Score cut-off value was adjusted to 1.0 and significant taxa are given in descending order from the highest to lowest LDA score. Mean abundances (%) are presented for each, with ranges given in parentheses.</w:t>
      </w:r>
    </w:p>
    <w:p w:rsidR="00922FEC" w:rsidRDefault="00922FEC" w:rsidP="00E04948">
      <w:pPr>
        <w:spacing w:line="269" w:lineRule="auto"/>
      </w:pPr>
    </w:p>
    <w:p w:rsidR="00922FEC" w:rsidRDefault="00922FEC" w:rsidP="00E04948">
      <w:pPr>
        <w:spacing w:line="269" w:lineRule="auto"/>
      </w:pPr>
    </w:p>
    <w:p w:rsidR="00F03F08" w:rsidRDefault="00DB7AD4" w:rsidP="00E04948">
      <w:pPr>
        <w:spacing w:line="269" w:lineRule="auto"/>
      </w:pPr>
      <w:r>
        <w:fldChar w:fldCharType="begin"/>
      </w:r>
      <w:r>
        <w:instrText xml:space="preserve"> LINK Excel.Sheet.12 "D:\\Aquatics work\\Shirin\\Manuscript submission\\Supplementary tables S1-S6.xlsx" "Table S2!R3C1:R32C7" \a \f 4 \h </w:instrText>
      </w:r>
      <w:r w:rsidR="00E04948">
        <w:instrText xml:space="preserve"> \* MERGEFORMAT </w:instrText>
      </w:r>
      <w:r>
        <w:fldChar w:fldCharType="separate"/>
      </w:r>
    </w:p>
    <w:p w:rsidR="00774138" w:rsidRDefault="00DB7AD4" w:rsidP="00F03F08">
      <w:pPr>
        <w:spacing w:line="269" w:lineRule="auto"/>
      </w:pPr>
      <w:r>
        <w:rPr>
          <w:rFonts w:ascii="Arial" w:hAnsi="Arial" w:cs="Arial"/>
          <w:bCs/>
        </w:rPr>
        <w:fldChar w:fldCharType="end"/>
      </w:r>
    </w:p>
    <w:tbl>
      <w:tblPr>
        <w:tblpPr w:leftFromText="180" w:rightFromText="180" w:vertAnchor="text" w:horzAnchor="margin" w:tblpY="58"/>
        <w:tblW w:w="15451" w:type="dxa"/>
        <w:tblLook w:val="04A0" w:firstRow="1" w:lastRow="0" w:firstColumn="1" w:lastColumn="0" w:noHBand="0" w:noVBand="1"/>
      </w:tblPr>
      <w:tblGrid>
        <w:gridCol w:w="1021"/>
        <w:gridCol w:w="873"/>
        <w:gridCol w:w="827"/>
        <w:gridCol w:w="937"/>
        <w:gridCol w:w="937"/>
        <w:gridCol w:w="800"/>
        <w:gridCol w:w="10056"/>
      </w:tblGrid>
      <w:tr w:rsidR="00774138" w:rsidRPr="00F03F08" w:rsidTr="00774138">
        <w:trPr>
          <w:trHeight w:val="290"/>
        </w:trPr>
        <w:tc>
          <w:tcPr>
            <w:tcW w:w="1021" w:type="dxa"/>
            <w:vMerge w:val="restart"/>
            <w:tcBorders>
              <w:top w:val="single" w:sz="4" w:space="0" w:color="auto"/>
              <w:left w:val="nil"/>
              <w:bottom w:val="single" w:sz="4" w:space="0" w:color="000000"/>
              <w:right w:val="nil"/>
            </w:tcBorders>
            <w:shd w:val="clear" w:color="auto" w:fill="auto"/>
            <w:noWrap/>
            <w:vAlign w:val="bottom"/>
            <w:hideMark/>
          </w:tcPr>
          <w:p w:rsidR="00774138" w:rsidRPr="00F03F08" w:rsidRDefault="00774138" w:rsidP="00774138">
            <w:pPr>
              <w:rPr>
                <w:rFonts w:ascii="Arial Narrow" w:eastAsia="Times New Roman" w:hAnsi="Arial Narrow" w:cs="Calibri"/>
                <w:b/>
                <w:bCs/>
                <w:color w:val="000000"/>
                <w:sz w:val="20"/>
                <w:szCs w:val="20"/>
                <w:lang w:eastAsia="en-AU"/>
              </w:rPr>
            </w:pPr>
            <w:r w:rsidRPr="00922FEC">
              <w:rPr>
                <w:rFonts w:ascii="Arial Narrow" w:eastAsia="Times New Roman" w:hAnsi="Arial Narrow" w:cs="Calibri"/>
                <w:b/>
                <w:bCs/>
                <w:color w:val="000000"/>
                <w:sz w:val="20"/>
                <w:szCs w:val="20"/>
                <w:lang w:eastAsia="en-AU"/>
              </w:rPr>
              <w:lastRenderedPageBreak/>
              <w:t>OTU #</w:t>
            </w:r>
          </w:p>
        </w:tc>
        <w:tc>
          <w:tcPr>
            <w:tcW w:w="3574" w:type="dxa"/>
            <w:gridSpan w:val="4"/>
            <w:tcBorders>
              <w:top w:val="single" w:sz="4" w:space="0" w:color="auto"/>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Mean abundance</w:t>
            </w:r>
            <w:r>
              <w:rPr>
                <w:rFonts w:ascii="Arial Narrow" w:eastAsia="Times New Roman" w:hAnsi="Arial Narrow" w:cs="Calibri"/>
                <w:b/>
                <w:bCs/>
                <w:color w:val="000000"/>
                <w:sz w:val="20"/>
                <w:szCs w:val="20"/>
                <w:lang w:eastAsia="en-AU"/>
              </w:rPr>
              <w:t xml:space="preserve"> (%)</w:t>
            </w:r>
          </w:p>
        </w:tc>
        <w:tc>
          <w:tcPr>
            <w:tcW w:w="10856" w:type="dxa"/>
            <w:gridSpan w:val="2"/>
            <w:tcBorders>
              <w:top w:val="single" w:sz="4" w:space="0" w:color="auto"/>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 </w:t>
            </w:r>
          </w:p>
        </w:tc>
      </w:tr>
      <w:tr w:rsidR="00774138" w:rsidRPr="00F03F08" w:rsidTr="00774138">
        <w:trPr>
          <w:trHeight w:val="550"/>
        </w:trPr>
        <w:tc>
          <w:tcPr>
            <w:tcW w:w="1021" w:type="dxa"/>
            <w:vMerge/>
            <w:tcBorders>
              <w:top w:val="single" w:sz="4" w:space="0" w:color="auto"/>
              <w:left w:val="nil"/>
              <w:bottom w:val="single" w:sz="4" w:space="0" w:color="000000"/>
              <w:right w:val="nil"/>
            </w:tcBorders>
            <w:vAlign w:val="center"/>
            <w:hideMark/>
          </w:tcPr>
          <w:p w:rsidR="00774138" w:rsidRPr="00F03F08" w:rsidRDefault="00774138" w:rsidP="00774138">
            <w:pPr>
              <w:spacing w:after="0" w:line="240" w:lineRule="auto"/>
              <w:rPr>
                <w:rFonts w:ascii="Arial Narrow" w:eastAsia="Times New Roman" w:hAnsi="Arial Narrow" w:cs="Calibri"/>
                <w:b/>
                <w:bCs/>
                <w:color w:val="000000"/>
                <w:sz w:val="20"/>
                <w:szCs w:val="20"/>
                <w:lang w:eastAsia="en-AU"/>
              </w:rPr>
            </w:pPr>
          </w:p>
        </w:tc>
        <w:tc>
          <w:tcPr>
            <w:tcW w:w="873" w:type="dxa"/>
            <w:tcBorders>
              <w:top w:val="nil"/>
              <w:left w:val="nil"/>
              <w:bottom w:val="single" w:sz="4" w:space="0" w:color="auto"/>
              <w:right w:val="nil"/>
            </w:tcBorders>
            <w:shd w:val="clear" w:color="auto" w:fill="auto"/>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Oysters</w:t>
            </w:r>
            <w:r w:rsidRPr="00F03F08">
              <w:rPr>
                <w:rFonts w:ascii="Arial Narrow" w:eastAsia="Times New Roman" w:hAnsi="Arial Narrow" w:cs="Calibri"/>
                <w:b/>
                <w:bCs/>
                <w:color w:val="000000"/>
                <w:sz w:val="20"/>
                <w:szCs w:val="20"/>
                <w:lang w:eastAsia="en-AU"/>
              </w:rPr>
              <w:br/>
              <w:t>Summer</w:t>
            </w:r>
          </w:p>
        </w:tc>
        <w:tc>
          <w:tcPr>
            <w:tcW w:w="827" w:type="dxa"/>
            <w:tcBorders>
              <w:top w:val="nil"/>
              <w:left w:val="nil"/>
              <w:bottom w:val="single" w:sz="4" w:space="0" w:color="auto"/>
              <w:right w:val="nil"/>
            </w:tcBorders>
            <w:shd w:val="clear" w:color="auto" w:fill="auto"/>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Oysters</w:t>
            </w:r>
            <w:r w:rsidRPr="00F03F08">
              <w:rPr>
                <w:rFonts w:ascii="Arial Narrow" w:eastAsia="Times New Roman" w:hAnsi="Arial Narrow" w:cs="Calibri"/>
                <w:b/>
                <w:bCs/>
                <w:color w:val="000000"/>
                <w:sz w:val="20"/>
                <w:szCs w:val="20"/>
                <w:lang w:eastAsia="en-AU"/>
              </w:rPr>
              <w:br/>
              <w:t>Winter</w:t>
            </w:r>
          </w:p>
        </w:tc>
        <w:tc>
          <w:tcPr>
            <w:tcW w:w="937" w:type="dxa"/>
            <w:tcBorders>
              <w:top w:val="nil"/>
              <w:left w:val="nil"/>
              <w:bottom w:val="single" w:sz="4" w:space="0" w:color="auto"/>
              <w:right w:val="nil"/>
            </w:tcBorders>
            <w:shd w:val="clear" w:color="auto" w:fill="auto"/>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Seawater</w:t>
            </w:r>
            <w:r w:rsidRPr="00F03F08">
              <w:rPr>
                <w:rFonts w:ascii="Arial Narrow" w:eastAsia="Times New Roman" w:hAnsi="Arial Narrow" w:cs="Calibri"/>
                <w:b/>
                <w:bCs/>
                <w:color w:val="000000"/>
                <w:sz w:val="20"/>
                <w:szCs w:val="20"/>
                <w:lang w:eastAsia="en-AU"/>
              </w:rPr>
              <w:br/>
              <w:t>Summer</w:t>
            </w:r>
          </w:p>
        </w:tc>
        <w:tc>
          <w:tcPr>
            <w:tcW w:w="937" w:type="dxa"/>
            <w:tcBorders>
              <w:top w:val="nil"/>
              <w:left w:val="nil"/>
              <w:bottom w:val="single" w:sz="4" w:space="0" w:color="auto"/>
              <w:right w:val="nil"/>
            </w:tcBorders>
            <w:shd w:val="clear" w:color="auto" w:fill="auto"/>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Seawater</w:t>
            </w:r>
            <w:r w:rsidRPr="00F03F08">
              <w:rPr>
                <w:rFonts w:ascii="Arial Narrow" w:eastAsia="Times New Roman" w:hAnsi="Arial Narrow" w:cs="Calibri"/>
                <w:b/>
                <w:bCs/>
                <w:color w:val="000000"/>
                <w:sz w:val="20"/>
                <w:szCs w:val="20"/>
                <w:lang w:eastAsia="en-AU"/>
              </w:rPr>
              <w:br/>
              <w:t>Winter</w:t>
            </w:r>
          </w:p>
        </w:tc>
        <w:tc>
          <w:tcPr>
            <w:tcW w:w="800" w:type="dxa"/>
            <w:tcBorders>
              <w:top w:val="nil"/>
              <w:left w:val="nil"/>
              <w:bottom w:val="single" w:sz="4" w:space="0" w:color="auto"/>
              <w:right w:val="nil"/>
            </w:tcBorders>
            <w:shd w:val="clear" w:color="auto" w:fill="auto"/>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Identity (%)</w:t>
            </w:r>
          </w:p>
        </w:tc>
        <w:tc>
          <w:tcPr>
            <w:tcW w:w="10056" w:type="dxa"/>
            <w:tcBorders>
              <w:top w:val="nil"/>
              <w:left w:val="nil"/>
              <w:bottom w:val="single" w:sz="4" w:space="0" w:color="auto"/>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b/>
                <w:bCs/>
                <w:color w:val="000000"/>
                <w:sz w:val="20"/>
                <w:szCs w:val="20"/>
                <w:lang w:eastAsia="en-AU"/>
              </w:rPr>
            </w:pPr>
            <w:r w:rsidRPr="00F03F08">
              <w:rPr>
                <w:rFonts w:ascii="Arial Narrow" w:eastAsia="Times New Roman" w:hAnsi="Arial Narrow" w:cs="Calibri"/>
                <w:b/>
                <w:bCs/>
                <w:color w:val="000000"/>
                <w:sz w:val="20"/>
                <w:szCs w:val="20"/>
                <w:lang w:eastAsia="en-AU"/>
              </w:rPr>
              <w:t>Classification</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OTU_224</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0.04811</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0.02777</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70.43</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unclassified Gammaproteobacteria; uncultured bacterium_JF827373</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OTU_14707</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0.03617</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0.00321</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80.33</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Tenericutes; Mollicutes; Mycoplasmatales; Mycoplasmataceae; Mycoplasma; uncultured bacterium_GU070687</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OTU_140</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0.00991</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18"/>
                <w:szCs w:val="18"/>
                <w:lang w:eastAsia="en-AU"/>
              </w:rPr>
            </w:pPr>
            <w:r w:rsidRPr="00F03F08">
              <w:rPr>
                <w:rFonts w:ascii="Arial Narrow" w:eastAsia="Times New Roman" w:hAnsi="Arial Narrow" w:cs="Calibri"/>
                <w:b/>
                <w:bCs/>
                <w:color w:val="000000"/>
                <w:sz w:val="18"/>
                <w:szCs w:val="18"/>
                <w:lang w:eastAsia="en-AU"/>
              </w:rPr>
              <w:t>0.22122</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69.39</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Alphaproteobacteria; Rickettsiales; Anaplasmataceae; Candidatus Neoehrlichia; Candidatus Thiopilula aggregata_FR690980</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OTU_553</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0.00018</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0.00248</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0.14208</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0.08345</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100.00</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Actinobacteria; Acidimicrobiia; Actinomarinales; Actinomarinaceae; Candidatus Actinomarina; uncultured actinobacterium MB11A03_AY033296</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OTU_1570</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0.00016</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0.00043</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0.00042</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90.50</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Latescibacteria; Latescibacteria; Latescibacterales; Latescibacteraceae; unclassified Latescibacteraceae; uncultured bacterium_JN092240</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OTU_20272</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0.00243</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0.02589</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0.03117</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96.92</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Cryomorphaceae; uncultured Cryomorphaceae; uncultured marine bacterium_HM437434</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OTU_263</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18"/>
                <w:szCs w:val="18"/>
                <w:lang w:eastAsia="en-AU"/>
              </w:rPr>
            </w:pPr>
            <w:r w:rsidRPr="00F03F08">
              <w:rPr>
                <w:rFonts w:ascii="Arial Narrow" w:eastAsia="Times New Roman" w:hAnsi="Arial Narrow" w:cs="Calibri"/>
                <w:b/>
                <w:bCs/>
                <w:color w:val="000000"/>
                <w:sz w:val="18"/>
                <w:szCs w:val="18"/>
                <w:lang w:eastAsia="en-AU"/>
              </w:rPr>
              <w:t>0.11918</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82.23</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Spirochaetes; Spirochaetia; Spirochaetales; Spirochaetaceae; Spirochaeta 2; uncultured bacterium_JF827378</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OTU_9073</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b/>
                <w:bCs/>
                <w:color w:val="000000"/>
                <w:sz w:val="18"/>
                <w:szCs w:val="18"/>
                <w:lang w:eastAsia="en-AU"/>
              </w:rPr>
            </w:pPr>
            <w:r w:rsidRPr="00F03F08">
              <w:rPr>
                <w:rFonts w:ascii="Arial Narrow" w:eastAsia="Times New Roman" w:hAnsi="Arial Narrow" w:cs="Calibri"/>
                <w:b/>
                <w:bCs/>
                <w:color w:val="000000"/>
                <w:sz w:val="18"/>
                <w:szCs w:val="18"/>
                <w:lang w:eastAsia="en-AU"/>
              </w:rPr>
              <w:t>0.09950</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80.33</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Tenericutes; Mollicutes; Mycoplasmatales; Mycoplasmataceae; Mycoplasma; uncultured bacterium_FM995178</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OTU_4363</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0.05387</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79.59</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Tenericutes; Mollicutes; Mycoplasmatales; Mycoplasmataceae; Mycoplasma; uncultured bacterium_JF827476</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OTU_77</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0.02312</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71.49</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Firmicutes; Erysipelotrichia; Erysipelotrichales; Erysipelotrichaceae; Dielma; uncultured bacterium_FN550075</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OTU_276</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0.00048</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84.58</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Cyanobacteria; Oxyphotobacteria; Nostocales; Chroococcidiopsaceae; uncultured cyanobacterium_JQ402424</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OTU_17632</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0.00047</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0.08531</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98.75</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Oceanospirillales; Saccharospirillaceae; Oleispira; uncultured gamma proteobacterium_AF353238</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OTU_759</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0.00041</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0.46333</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98.75</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Alteromonadales; Alteromonadaceae; Alteromonas; HMWdDNA-degrading marine bacterium 31_EF103087</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OTU_681</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0.00030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0.36095</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87.50</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Crocinitomicaceae; Crocinitomix; uncultured bacterium_JQ214458</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OTU_550</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0.00027</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0.43627</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92.92</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Alteromonadales; Alteromonadaceae; Glaciecola; uncultured gamma proteobacterium CHAB-XII-8_AJ240915</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OTU_638</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0.00023</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90.87</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Cellvibrionales; Cellvibrionaceae; Marinagarivorans; uncultured Alteromonadales bacterium_AY712105</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OTU_858</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0.00018</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0.08550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97.92</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Chitinophagales; Saprospiraceae; Aureispira; uncultured bacterium_EF573760</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OTU_2948</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0.00014</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96.28</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Flavobacteriaceae; Polaribacter 3; uncultured marine bacterium_FJ826130</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OTU_893</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0.00013</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0.15291</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88.84</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Crocinitomicaceae; Fluviicola; uncultured Flavobacterium sp._JN233129</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OTU_1081</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0.00011</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0.11076</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85.48</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Cryomorphaceae; uncultured Flavobacterium sp._FJ745267</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OTU_546</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0.00340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0.01799</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0.13008</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95.83</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unclassified Flavobacteriales NS9 marine group; uncultured marine bacterium_FN435390</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OTU_2449</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0.00215</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0.00166</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0.02087</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100.00</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unclassified Gammaproteobacteria SAR86 clade; uncultured bacterium_AF382123</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OTU_6362</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0.00155</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0.00653</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0.00653</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89.58</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Flavobacteriaceae; Flavobacteriaceae NS5 marine group; uncultured bacterium_EU636597</w:t>
            </w:r>
          </w:p>
        </w:tc>
      </w:tr>
      <w:tr w:rsidR="00774138" w:rsidRPr="00F03F08" w:rsidTr="00774138">
        <w:trPr>
          <w:trHeight w:val="290"/>
        </w:trPr>
        <w:tc>
          <w:tcPr>
            <w:tcW w:w="1021"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OTU_2099</w:t>
            </w:r>
          </w:p>
        </w:tc>
        <w:tc>
          <w:tcPr>
            <w:tcW w:w="873"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0.00061</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92.89</w:t>
            </w:r>
          </w:p>
        </w:tc>
        <w:tc>
          <w:tcPr>
            <w:tcW w:w="10056" w:type="dxa"/>
            <w:tcBorders>
              <w:top w:val="nil"/>
              <w:left w:val="nil"/>
              <w:bottom w:val="nil"/>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Alteromonadales; Colwelliaceae; Thalassotalea; uncultured bacterium_HF558550</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OTU_1939</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0.00030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0.00176</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0.01271</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93.78</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Gammaproteobacteria; Thiotrichales; Thiotrichaceae; uncultured bacterium_JX864308</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OTU_1945</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0.00027</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0.06934</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95.85</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unclassified Flavobacteriales NS7 marine group; uncultured marine bacterium_GU235567</w:t>
            </w:r>
          </w:p>
        </w:tc>
      </w:tr>
      <w:tr w:rsidR="00774138" w:rsidRPr="00F03F08" w:rsidTr="00774138">
        <w:trPr>
          <w:trHeight w:val="290"/>
        </w:trPr>
        <w:tc>
          <w:tcPr>
            <w:tcW w:w="1021"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OTU_3559</w:t>
            </w:r>
          </w:p>
        </w:tc>
        <w:tc>
          <w:tcPr>
            <w:tcW w:w="873"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0.00012</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0.03481</w:t>
            </w:r>
          </w:p>
        </w:tc>
        <w:tc>
          <w:tcPr>
            <w:tcW w:w="800"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97.07</w:t>
            </w:r>
          </w:p>
        </w:tc>
        <w:tc>
          <w:tcPr>
            <w:tcW w:w="10056" w:type="dxa"/>
            <w:tcBorders>
              <w:top w:val="nil"/>
              <w:left w:val="nil"/>
              <w:bottom w:val="nil"/>
              <w:right w:val="nil"/>
            </w:tcBorders>
            <w:shd w:val="clear" w:color="auto" w:fill="auto"/>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Proteobacteria; Alphaproteobacteria; unclassified Alphaproteobacteria SAR11 clade I; uncultured bacterium_JQ195102</w:t>
            </w:r>
          </w:p>
        </w:tc>
      </w:tr>
      <w:tr w:rsidR="00774138" w:rsidRPr="00F03F08" w:rsidTr="00774138">
        <w:trPr>
          <w:trHeight w:val="290"/>
        </w:trPr>
        <w:tc>
          <w:tcPr>
            <w:tcW w:w="1021"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OTU_2656</w:t>
            </w:r>
          </w:p>
        </w:tc>
        <w:tc>
          <w:tcPr>
            <w:tcW w:w="873"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27"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0.00011</w:t>
            </w:r>
          </w:p>
        </w:tc>
        <w:tc>
          <w:tcPr>
            <w:tcW w:w="937"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937"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0</w:t>
            </w:r>
          </w:p>
        </w:tc>
        <w:tc>
          <w:tcPr>
            <w:tcW w:w="800"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jc w:val="center"/>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85.54</w:t>
            </w:r>
          </w:p>
        </w:tc>
        <w:tc>
          <w:tcPr>
            <w:tcW w:w="10056" w:type="dxa"/>
            <w:tcBorders>
              <w:top w:val="nil"/>
              <w:left w:val="nil"/>
              <w:bottom w:val="single" w:sz="4" w:space="0" w:color="auto"/>
              <w:right w:val="nil"/>
            </w:tcBorders>
            <w:shd w:val="clear" w:color="000000" w:fill="D9D9D9"/>
            <w:noWrap/>
            <w:vAlign w:val="bottom"/>
            <w:hideMark/>
          </w:tcPr>
          <w:p w:rsidR="00774138" w:rsidRPr="00F03F08" w:rsidRDefault="00774138" w:rsidP="00774138">
            <w:pPr>
              <w:spacing w:after="0" w:line="240" w:lineRule="auto"/>
              <w:rPr>
                <w:rFonts w:ascii="Arial Narrow" w:eastAsia="Times New Roman" w:hAnsi="Arial Narrow" w:cs="Calibri"/>
                <w:color w:val="000000"/>
                <w:sz w:val="18"/>
                <w:szCs w:val="18"/>
                <w:lang w:eastAsia="en-AU"/>
              </w:rPr>
            </w:pPr>
            <w:r w:rsidRPr="00F03F08">
              <w:rPr>
                <w:rFonts w:ascii="Arial Narrow" w:eastAsia="Times New Roman" w:hAnsi="Arial Narrow" w:cs="Calibri"/>
                <w:color w:val="000000"/>
                <w:sz w:val="18"/>
                <w:szCs w:val="18"/>
                <w:lang w:eastAsia="en-AU"/>
              </w:rPr>
              <w:t>Bacteroidetes; Bacteroidia; Flavobacteriales; Flavobacteriaceae; Psychroflexus; uncultured Bacteroidetes bacterium_FJ213812</w:t>
            </w:r>
          </w:p>
        </w:tc>
      </w:tr>
    </w:tbl>
    <w:p w:rsidR="00774138" w:rsidRDefault="00E04948" w:rsidP="00EE2699">
      <w:pPr>
        <w:spacing w:before="120" w:after="0" w:line="240" w:lineRule="auto"/>
      </w:pPr>
      <w:r w:rsidRPr="00E04948">
        <w:rPr>
          <w:rFonts w:ascii="Arial" w:hAnsi="Arial" w:cs="Arial"/>
          <w:b/>
          <w:bCs/>
          <w:sz w:val="20"/>
          <w:szCs w:val="20"/>
        </w:rPr>
        <w:t>Supp</w:t>
      </w:r>
      <w:r w:rsidR="00E53767">
        <w:rPr>
          <w:rFonts w:ascii="Arial" w:hAnsi="Arial" w:cs="Arial"/>
          <w:b/>
          <w:bCs/>
          <w:sz w:val="20"/>
          <w:szCs w:val="20"/>
        </w:rPr>
        <w:t xml:space="preserve">lementary Table </w:t>
      </w:r>
      <w:r>
        <w:rPr>
          <w:rFonts w:ascii="Arial" w:hAnsi="Arial" w:cs="Arial"/>
          <w:b/>
          <w:bCs/>
          <w:sz w:val="20"/>
          <w:szCs w:val="20"/>
        </w:rPr>
        <w:t>2</w:t>
      </w:r>
      <w:r w:rsidRPr="00E04948">
        <w:rPr>
          <w:rFonts w:ascii="Arial" w:hAnsi="Arial" w:cs="Arial"/>
          <w:b/>
          <w:bCs/>
          <w:sz w:val="20"/>
          <w:szCs w:val="20"/>
        </w:rPr>
        <w:t xml:space="preserve"> </w:t>
      </w:r>
      <w:r w:rsidRPr="00E04948">
        <w:rPr>
          <w:rFonts w:ascii="Arial" w:hAnsi="Arial" w:cs="Arial"/>
          <w:bCs/>
          <w:sz w:val="20"/>
          <w:szCs w:val="20"/>
        </w:rPr>
        <w:t xml:space="preserve">List of the unique OTUs detected from oyster gut samples following Illumina-based </w:t>
      </w:r>
      <w:r>
        <w:rPr>
          <w:rFonts w:ascii="Arial" w:hAnsi="Arial" w:cs="Arial"/>
          <w:bCs/>
          <w:sz w:val="20"/>
          <w:szCs w:val="20"/>
        </w:rPr>
        <w:t xml:space="preserve">16S rRNA (V1-V2) gene </w:t>
      </w:r>
      <w:r w:rsidRPr="00E04948">
        <w:rPr>
          <w:rFonts w:ascii="Arial" w:hAnsi="Arial" w:cs="Arial"/>
          <w:bCs/>
          <w:sz w:val="20"/>
          <w:szCs w:val="20"/>
        </w:rPr>
        <w:t>sequencing</w:t>
      </w:r>
      <w:r w:rsidR="00762FC2">
        <w:rPr>
          <w:rFonts w:ascii="Arial" w:hAnsi="Arial" w:cs="Arial"/>
          <w:bCs/>
          <w:sz w:val="20"/>
          <w:szCs w:val="20"/>
        </w:rPr>
        <w:t>, including their classification, percent identity and closest sequence in RDP</w:t>
      </w:r>
      <w:r w:rsidRPr="00E04948">
        <w:rPr>
          <w:rFonts w:ascii="Arial" w:hAnsi="Arial" w:cs="Arial"/>
          <w:bCs/>
          <w:sz w:val="20"/>
          <w:szCs w:val="20"/>
        </w:rPr>
        <w:t xml:space="preserve">. Highlighted OTUs were not detected from seawater, and the top </w:t>
      </w:r>
      <w:r w:rsidR="00762FC2">
        <w:rPr>
          <w:rFonts w:ascii="Arial" w:hAnsi="Arial" w:cs="Arial"/>
          <w:bCs/>
          <w:sz w:val="20"/>
          <w:szCs w:val="20"/>
        </w:rPr>
        <w:t xml:space="preserve">three </w:t>
      </w:r>
      <w:r w:rsidRPr="00E04948">
        <w:rPr>
          <w:rFonts w:ascii="Arial" w:hAnsi="Arial" w:cs="Arial"/>
          <w:bCs/>
          <w:sz w:val="20"/>
          <w:szCs w:val="20"/>
        </w:rPr>
        <w:t>most abundant (</w:t>
      </w:r>
      <w:r w:rsidR="00286F99" w:rsidRPr="00286F99">
        <w:rPr>
          <w:rFonts w:ascii="Arial" w:hAnsi="Arial" w:cs="Arial"/>
          <w:sz w:val="20"/>
          <w:szCs w:val="20"/>
        </w:rPr>
        <w:t>irrespective of the summer or winter month of sampling</w:t>
      </w:r>
      <w:r w:rsidRPr="00E04948">
        <w:rPr>
          <w:rFonts w:ascii="Arial" w:hAnsi="Arial" w:cs="Arial"/>
          <w:bCs/>
          <w:sz w:val="20"/>
          <w:szCs w:val="20"/>
        </w:rPr>
        <w:t xml:space="preserve">) </w:t>
      </w:r>
      <w:r>
        <w:rPr>
          <w:rFonts w:ascii="Arial" w:hAnsi="Arial" w:cs="Arial"/>
          <w:bCs/>
          <w:sz w:val="20"/>
          <w:szCs w:val="20"/>
        </w:rPr>
        <w:t xml:space="preserve">are </w:t>
      </w:r>
      <w:r w:rsidRPr="00E04948">
        <w:rPr>
          <w:rFonts w:ascii="Arial" w:hAnsi="Arial" w:cs="Arial"/>
          <w:bCs/>
          <w:sz w:val="20"/>
          <w:szCs w:val="20"/>
        </w:rPr>
        <w:t>given in bold.</w:t>
      </w:r>
      <w:r w:rsidR="00922FEC">
        <w:t xml:space="preserve"> </w:t>
      </w:r>
    </w:p>
    <w:p w:rsidR="00B963A0" w:rsidRDefault="00922FEC" w:rsidP="00922FEC">
      <w:pPr>
        <w:spacing w:before="120" w:after="0" w:line="269" w:lineRule="auto"/>
      </w:pPr>
      <w:r>
        <w:fldChar w:fldCharType="begin"/>
      </w:r>
      <w:r>
        <w:instrText xml:space="preserve"> LINK Excel.Sheet.12 "D:\\Aquatics work\\Shirin\\Manuscript submission\\Supplementary tables S1-S6.xlsx" "Table S3!R3C1:R32C7" \a \f 4 \h  \* MERGEFORMAT </w:instrText>
      </w:r>
      <w:r>
        <w:fldChar w:fldCharType="separate"/>
      </w:r>
    </w:p>
    <w:tbl>
      <w:tblPr>
        <w:tblW w:w="14742" w:type="dxa"/>
        <w:tblLook w:val="04A0" w:firstRow="1" w:lastRow="0" w:firstColumn="1" w:lastColumn="0" w:noHBand="0" w:noVBand="1"/>
      </w:tblPr>
      <w:tblGrid>
        <w:gridCol w:w="939"/>
        <w:gridCol w:w="873"/>
        <w:gridCol w:w="864"/>
        <w:gridCol w:w="937"/>
        <w:gridCol w:w="937"/>
        <w:gridCol w:w="800"/>
        <w:gridCol w:w="9392"/>
      </w:tblGrid>
      <w:tr w:rsidR="00B963A0" w:rsidRPr="00B963A0" w:rsidTr="00B963A0">
        <w:trPr>
          <w:divId w:val="1529294589"/>
          <w:trHeight w:val="280"/>
        </w:trPr>
        <w:tc>
          <w:tcPr>
            <w:tcW w:w="939" w:type="dxa"/>
            <w:vMerge w:val="restart"/>
            <w:tcBorders>
              <w:top w:val="single" w:sz="4" w:space="0" w:color="auto"/>
              <w:left w:val="nil"/>
              <w:bottom w:val="single" w:sz="4" w:space="0" w:color="000000"/>
              <w:right w:val="nil"/>
            </w:tcBorders>
            <w:shd w:val="clear" w:color="auto" w:fill="auto"/>
            <w:noWrap/>
            <w:vAlign w:val="bottom"/>
            <w:hideMark/>
          </w:tcPr>
          <w:p w:rsidR="00B963A0" w:rsidRPr="00B963A0" w:rsidRDefault="00B963A0" w:rsidP="00B963A0">
            <w:pPr>
              <w:rPr>
                <w:rFonts w:ascii="Arial Narrow" w:eastAsia="Times New Roman" w:hAnsi="Arial Narrow" w:cs="Calibri"/>
                <w:b/>
                <w:bCs/>
                <w:color w:val="000000"/>
                <w:sz w:val="20"/>
                <w:szCs w:val="20"/>
                <w:lang w:eastAsia="en-AU"/>
              </w:rPr>
            </w:pPr>
            <w:r w:rsidRPr="00B963A0">
              <w:rPr>
                <w:rFonts w:ascii="Arial Narrow" w:eastAsia="Times New Roman" w:hAnsi="Arial Narrow" w:cs="Calibri"/>
                <w:b/>
                <w:bCs/>
                <w:color w:val="000000"/>
                <w:sz w:val="20"/>
                <w:szCs w:val="20"/>
                <w:lang w:eastAsia="en-AU"/>
              </w:rPr>
              <w:lastRenderedPageBreak/>
              <w:t>OTU #</w:t>
            </w:r>
          </w:p>
        </w:tc>
        <w:tc>
          <w:tcPr>
            <w:tcW w:w="3611" w:type="dxa"/>
            <w:gridSpan w:val="4"/>
            <w:tcBorders>
              <w:top w:val="single" w:sz="4" w:space="0" w:color="auto"/>
              <w:left w:val="nil"/>
              <w:bottom w:val="nil"/>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color w:val="000000"/>
                <w:sz w:val="20"/>
                <w:szCs w:val="20"/>
                <w:lang w:eastAsia="en-AU"/>
              </w:rPr>
            </w:pPr>
            <w:r w:rsidRPr="00B963A0">
              <w:rPr>
                <w:rFonts w:ascii="Arial Narrow" w:eastAsia="Times New Roman" w:hAnsi="Arial Narrow" w:cs="Calibri"/>
                <w:b/>
                <w:bCs/>
                <w:color w:val="000000"/>
                <w:sz w:val="20"/>
                <w:szCs w:val="20"/>
                <w:lang w:eastAsia="en-AU"/>
              </w:rPr>
              <w:t>Mean abundance (%)</w:t>
            </w:r>
          </w:p>
        </w:tc>
        <w:tc>
          <w:tcPr>
            <w:tcW w:w="800" w:type="dxa"/>
            <w:tcBorders>
              <w:top w:val="single" w:sz="4" w:space="0" w:color="auto"/>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20"/>
                <w:szCs w:val="20"/>
                <w:lang w:eastAsia="en-AU"/>
              </w:rPr>
            </w:pPr>
            <w:r w:rsidRPr="00B963A0">
              <w:rPr>
                <w:rFonts w:ascii="Arial Narrow" w:eastAsia="Times New Roman" w:hAnsi="Arial Narrow" w:cs="Calibri"/>
                <w:color w:val="000000"/>
                <w:sz w:val="20"/>
                <w:szCs w:val="20"/>
                <w:lang w:eastAsia="en-AU"/>
              </w:rPr>
              <w:t> </w:t>
            </w:r>
          </w:p>
        </w:tc>
        <w:tc>
          <w:tcPr>
            <w:tcW w:w="9392" w:type="dxa"/>
            <w:tcBorders>
              <w:top w:val="single" w:sz="4" w:space="0" w:color="auto"/>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 </w:t>
            </w:r>
          </w:p>
        </w:tc>
      </w:tr>
      <w:tr w:rsidR="00B963A0" w:rsidRPr="00B963A0" w:rsidTr="00B963A0">
        <w:trPr>
          <w:divId w:val="1529294589"/>
          <w:trHeight w:val="520"/>
        </w:trPr>
        <w:tc>
          <w:tcPr>
            <w:tcW w:w="939" w:type="dxa"/>
            <w:vMerge/>
            <w:tcBorders>
              <w:top w:val="single" w:sz="4" w:space="0" w:color="auto"/>
              <w:left w:val="nil"/>
              <w:bottom w:val="single" w:sz="4" w:space="0" w:color="000000"/>
              <w:right w:val="nil"/>
            </w:tcBorders>
            <w:vAlign w:val="center"/>
            <w:hideMark/>
          </w:tcPr>
          <w:p w:rsidR="00B963A0" w:rsidRPr="00B963A0" w:rsidRDefault="00B963A0" w:rsidP="00B963A0">
            <w:pPr>
              <w:spacing w:after="0" w:line="240" w:lineRule="auto"/>
              <w:rPr>
                <w:rFonts w:ascii="Arial Narrow" w:eastAsia="Times New Roman" w:hAnsi="Arial Narrow" w:cs="Calibri"/>
                <w:b/>
                <w:bCs/>
                <w:color w:val="000000"/>
                <w:sz w:val="20"/>
                <w:szCs w:val="20"/>
                <w:lang w:eastAsia="en-AU"/>
              </w:rPr>
            </w:pPr>
          </w:p>
        </w:tc>
        <w:tc>
          <w:tcPr>
            <w:tcW w:w="873" w:type="dxa"/>
            <w:tcBorders>
              <w:top w:val="nil"/>
              <w:left w:val="nil"/>
              <w:bottom w:val="single" w:sz="4" w:space="0" w:color="auto"/>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Mussels</w:t>
            </w:r>
            <w:r w:rsidRPr="00B963A0">
              <w:rPr>
                <w:rFonts w:ascii="Arial Narrow" w:eastAsia="Times New Roman" w:hAnsi="Arial Narrow" w:cs="Calibri"/>
                <w:b/>
                <w:bCs/>
                <w:sz w:val="20"/>
                <w:szCs w:val="20"/>
                <w:lang w:eastAsia="en-AU"/>
              </w:rPr>
              <w:br/>
              <w:t>Summer</w:t>
            </w:r>
          </w:p>
        </w:tc>
        <w:tc>
          <w:tcPr>
            <w:tcW w:w="864" w:type="dxa"/>
            <w:tcBorders>
              <w:top w:val="nil"/>
              <w:left w:val="nil"/>
              <w:bottom w:val="single" w:sz="4" w:space="0" w:color="auto"/>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Mussels</w:t>
            </w:r>
            <w:r w:rsidRPr="00B963A0">
              <w:rPr>
                <w:rFonts w:ascii="Arial Narrow" w:eastAsia="Times New Roman" w:hAnsi="Arial Narrow" w:cs="Calibri"/>
                <w:b/>
                <w:bCs/>
                <w:sz w:val="20"/>
                <w:szCs w:val="20"/>
                <w:lang w:eastAsia="en-AU"/>
              </w:rPr>
              <w:br/>
              <w:t>Winter</w:t>
            </w:r>
          </w:p>
        </w:tc>
        <w:tc>
          <w:tcPr>
            <w:tcW w:w="937" w:type="dxa"/>
            <w:tcBorders>
              <w:top w:val="nil"/>
              <w:left w:val="nil"/>
              <w:bottom w:val="single" w:sz="4" w:space="0" w:color="auto"/>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Seawater</w:t>
            </w:r>
            <w:r w:rsidRPr="00B963A0">
              <w:rPr>
                <w:rFonts w:ascii="Arial Narrow" w:eastAsia="Times New Roman" w:hAnsi="Arial Narrow" w:cs="Calibri"/>
                <w:b/>
                <w:bCs/>
                <w:sz w:val="20"/>
                <w:szCs w:val="20"/>
                <w:lang w:eastAsia="en-AU"/>
              </w:rPr>
              <w:br/>
              <w:t>Summer</w:t>
            </w:r>
          </w:p>
        </w:tc>
        <w:tc>
          <w:tcPr>
            <w:tcW w:w="937" w:type="dxa"/>
            <w:tcBorders>
              <w:top w:val="nil"/>
              <w:left w:val="nil"/>
              <w:bottom w:val="single" w:sz="4" w:space="0" w:color="auto"/>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Seawater</w:t>
            </w:r>
            <w:r w:rsidRPr="00B963A0">
              <w:rPr>
                <w:rFonts w:ascii="Arial Narrow" w:eastAsia="Times New Roman" w:hAnsi="Arial Narrow" w:cs="Calibri"/>
                <w:b/>
                <w:bCs/>
                <w:sz w:val="20"/>
                <w:szCs w:val="20"/>
                <w:lang w:eastAsia="en-AU"/>
              </w:rPr>
              <w:br/>
              <w:t>Winter</w:t>
            </w:r>
          </w:p>
        </w:tc>
        <w:tc>
          <w:tcPr>
            <w:tcW w:w="800" w:type="dxa"/>
            <w:tcBorders>
              <w:top w:val="nil"/>
              <w:left w:val="nil"/>
              <w:bottom w:val="single" w:sz="4" w:space="0" w:color="auto"/>
              <w:right w:val="nil"/>
            </w:tcBorders>
            <w:shd w:val="clear" w:color="auto" w:fill="auto"/>
            <w:vAlign w:val="bottom"/>
            <w:hideMark/>
          </w:tcPr>
          <w:p w:rsidR="00B963A0" w:rsidRPr="00B963A0" w:rsidRDefault="00B963A0" w:rsidP="00B963A0">
            <w:pPr>
              <w:spacing w:after="0" w:line="240" w:lineRule="auto"/>
              <w:jc w:val="center"/>
              <w:rPr>
                <w:rFonts w:ascii="Arial Narrow" w:eastAsia="Times New Roman" w:hAnsi="Arial Narrow" w:cs="Calibri"/>
                <w:b/>
                <w:bCs/>
                <w:color w:val="000000"/>
                <w:sz w:val="20"/>
                <w:szCs w:val="20"/>
                <w:lang w:eastAsia="en-AU"/>
              </w:rPr>
            </w:pPr>
            <w:r w:rsidRPr="00B963A0">
              <w:rPr>
                <w:rFonts w:ascii="Arial Narrow" w:eastAsia="Times New Roman" w:hAnsi="Arial Narrow" w:cs="Calibri"/>
                <w:b/>
                <w:bCs/>
                <w:color w:val="000000"/>
                <w:sz w:val="20"/>
                <w:szCs w:val="20"/>
                <w:lang w:eastAsia="en-AU"/>
              </w:rPr>
              <w:t>Identity</w:t>
            </w:r>
            <w:r w:rsidRPr="00B963A0">
              <w:rPr>
                <w:rFonts w:ascii="Arial Narrow" w:eastAsia="Times New Roman" w:hAnsi="Arial Narrow" w:cs="Calibri"/>
                <w:b/>
                <w:bCs/>
                <w:color w:val="000000"/>
                <w:sz w:val="20"/>
                <w:szCs w:val="20"/>
                <w:lang w:eastAsia="en-AU"/>
              </w:rPr>
              <w:br/>
              <w:t>(%)</w:t>
            </w:r>
          </w:p>
        </w:tc>
        <w:tc>
          <w:tcPr>
            <w:tcW w:w="9392"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b/>
                <w:bCs/>
                <w:sz w:val="20"/>
                <w:szCs w:val="20"/>
                <w:lang w:eastAsia="en-AU"/>
              </w:rPr>
            </w:pPr>
            <w:r w:rsidRPr="00B963A0">
              <w:rPr>
                <w:rFonts w:ascii="Arial Narrow" w:eastAsia="Times New Roman" w:hAnsi="Arial Narrow" w:cs="Calibri"/>
                <w:b/>
                <w:bCs/>
                <w:sz w:val="20"/>
                <w:szCs w:val="20"/>
                <w:lang w:eastAsia="en-AU"/>
              </w:rPr>
              <w:t>Classification</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OTU_115</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b/>
                <w:bCs/>
                <w:sz w:val="18"/>
                <w:szCs w:val="18"/>
                <w:lang w:eastAsia="en-AU"/>
              </w:rPr>
            </w:pPr>
            <w:r w:rsidRPr="00B963A0">
              <w:rPr>
                <w:rFonts w:ascii="Arial Narrow" w:eastAsia="Times New Roman" w:hAnsi="Arial Narrow" w:cs="Calibri"/>
                <w:b/>
                <w:bCs/>
                <w:sz w:val="18"/>
                <w:szCs w:val="18"/>
                <w:lang w:eastAsia="en-AU"/>
              </w:rPr>
              <w:t>0.52595</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0.02939</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71.95</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Tenericutes; Mollicutes; Mycoplasmatales; Mycoplasmataceae; Mycoplasma; Mycoplasma genitalium M6320_CP003772</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OTU_261</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b/>
                <w:bCs/>
                <w:sz w:val="18"/>
                <w:szCs w:val="18"/>
                <w:lang w:eastAsia="en-AU"/>
              </w:rPr>
            </w:pPr>
            <w:r w:rsidRPr="00B963A0">
              <w:rPr>
                <w:rFonts w:ascii="Arial Narrow" w:eastAsia="Times New Roman" w:hAnsi="Arial Narrow" w:cs="Calibri"/>
                <w:b/>
                <w:bCs/>
                <w:sz w:val="18"/>
                <w:szCs w:val="18"/>
                <w:lang w:eastAsia="en-AU"/>
              </w:rPr>
              <w:t>0.17323</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0.04078</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82.11</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Tenericutes; Mollicutes; Mycoplasmatales; Mycoplasmataceae; Mycoplasma; uncultured bacterium_FM995178</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OTU_677</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0.00035</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89.63</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Flavobacteriaceae; Bizionia; Bizionia psychrotolerans T_KJ461691</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OTU_1571</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0.00176</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94.17</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Epsilonbacteraeota; Campylobacteria; Campylobacterales; Arcobacteraceae; Arcobacter; uncultured epsilon proteobacterium_HE576785</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OTU_2403</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0.00102</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90.72</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Cryomorphaceae; uncultured Bacteroidetes bacterium_GQ274047</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OTU_1448</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0.00072</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78.84</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Rhodospirillales; uncultured bacterium_KC465655</w:t>
            </w:r>
          </w:p>
        </w:tc>
      </w:tr>
      <w:tr w:rsidR="00B963A0" w:rsidRPr="00B963A0" w:rsidTr="00B963A0">
        <w:trPr>
          <w:divId w:val="1529294589"/>
          <w:trHeight w:val="310"/>
        </w:trPr>
        <w:tc>
          <w:tcPr>
            <w:tcW w:w="939"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OTU_1396</w:t>
            </w:r>
          </w:p>
        </w:tc>
        <w:tc>
          <w:tcPr>
            <w:tcW w:w="873"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0.00013</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87.55</w:t>
            </w:r>
          </w:p>
        </w:tc>
        <w:tc>
          <w:tcPr>
            <w:tcW w:w="9392" w:type="dxa"/>
            <w:tcBorders>
              <w:top w:val="nil"/>
              <w:left w:val="nil"/>
              <w:bottom w:val="nil"/>
              <w:right w:val="nil"/>
            </w:tcBorders>
            <w:shd w:val="clear" w:color="000000" w:fill="D9D9D9"/>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Crocinitomicaceae; uncultured bacterium_EU045077</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OTU_180</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b/>
                <w:bCs/>
                <w:sz w:val="18"/>
                <w:szCs w:val="18"/>
                <w:lang w:eastAsia="en-AU"/>
              </w:rPr>
            </w:pPr>
            <w:r w:rsidRPr="00B963A0">
              <w:rPr>
                <w:rFonts w:ascii="Arial Narrow" w:eastAsia="Times New Roman" w:hAnsi="Arial Narrow" w:cs="Calibri"/>
                <w:b/>
                <w:bCs/>
                <w:sz w:val="18"/>
                <w:szCs w:val="18"/>
                <w:lang w:eastAsia="en-AU"/>
              </w:rPr>
              <w:t>0.22770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0.00089</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71.37</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Tenericutes; Mollicutes; Entomoplasmatales; Spiroplasmataceae; Spiroplasma; Mycoplasma fastidiosum T_AF125878</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OTU_1982</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0.00116</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0.00315</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0.00297</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97.50</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Flavobacteriaceae; Kordia; Cytophaga sp._AB017046</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OTU_2113</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0.00100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0.00731</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0.00340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92.50</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Flavobacteriaceae; Flavobacterium; uncultured bacterium_JF827501</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OTU_68</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0.00099</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0.01507</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0.00060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96.25</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Flavobacteriaceae; Polaribacter 4; uncultured Flavobacteriales bacterium_KF786569</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OTU_385</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0.00087</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0.00089</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92.56</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Gammaproteobacteria; Cellvibrionales; Spongiibacteraceae BD1-7 clade; uncultured bacterium_JX015952</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OTU_2787</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0.00051</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0.00126</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0.01268</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88.02</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Flavobacteriales; Flavobacteriaceae NS5 marine group; uncultured bacterium_EF379585</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OTU_1476</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0.00016</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0.00019</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0.00353</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87.97</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Gammaproteobacteria; Oceanospirillales; Saccharospirillaceae; Thalassolituus; uncultured Marinobacter sp._HM216500</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OTU_7972</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0.00014</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0.07826</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0.00534</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98.33</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Alphaproteobacteria SAR11 clade II; uncultured bacterium_FJ744894</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OTU_2115</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0.00012</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0.00013</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0.01502</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0.01309</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99.58</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Rhodospirillales AEGEAN-169 marine group; uncultured bacterium_GU461167</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OTU_2349</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0.04043</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0.00551</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85.48</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Chitinophagales; Saprospiraceae; Lewinella; uncultured Bacteroidetes bacterium_GQ274081</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OTU_310</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0.00848</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88.29</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Fusobacteria; Fusobacteriia; Fusobacteriales; Leptotrichiaceae; Hypnocyclicus; uncultured Fusobacteria bacterium_DQ206413</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OTU_5711</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0.00006</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0.00182</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0.00085</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0.00178</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96.67</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Gammaproteobacteria; Alteromonadales; Colwelliaceae; Colwellia; Alteromonadaceae bacterium SN-1009_AB097610</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OTU_1515</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0.00241</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0.00574</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0.00114</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85.95</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Rhodospirillales; Terasakiellaceae; alpha proteobacterium 'Egg clone D38'_AF022399</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OTU_1315</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0.00217</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0.00258</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0.01085</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87.14</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Bacteroidetes; Bacteroidia; Chitinophagales; uncultured Bacteroidetes bacterium_GQ347704</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OTU_3010</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0.00072</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0.04005</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91.67</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Puniceispirillales SAR116 clade; uncultured bacterium_JQ196540</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OTU_778</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0.00057</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0.00260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95.42</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Gammaproteobacteria; Alteromonadales; Colwelliaceae; Thalassotalea; Thalassotalea piscium T_JX412957</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OTU_2240</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0.00040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0.00131</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0.01342</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97.50</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Thalassobaculales; Nisaeaceae OM75 clade; uncultured bacterium_EU799269</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OTU_1675</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0.00027</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0.00178</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90.83</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Gammaproteobacteria; Alteromonadales; Colwelliaceae; Colwellia; Colwellia asteriadis T_EU599214</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OTU_3329</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0.00022</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0.04210</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99.17</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Alphaproteobacteria SAR11 clade II; uncultured bacterium_JF509025</w:t>
            </w:r>
          </w:p>
        </w:tc>
      </w:tr>
      <w:tr w:rsidR="00B963A0" w:rsidRPr="00B963A0" w:rsidTr="00B963A0">
        <w:trPr>
          <w:divId w:val="1529294589"/>
          <w:trHeight w:val="310"/>
        </w:trPr>
        <w:tc>
          <w:tcPr>
            <w:tcW w:w="939"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OTU_2619</w:t>
            </w:r>
          </w:p>
        </w:tc>
        <w:tc>
          <w:tcPr>
            <w:tcW w:w="873"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0.00016</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937"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0.05775</w:t>
            </w:r>
          </w:p>
        </w:tc>
        <w:tc>
          <w:tcPr>
            <w:tcW w:w="800"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97.08</w:t>
            </w:r>
          </w:p>
        </w:tc>
        <w:tc>
          <w:tcPr>
            <w:tcW w:w="9392" w:type="dxa"/>
            <w:tcBorders>
              <w:top w:val="nil"/>
              <w:left w:val="nil"/>
              <w:bottom w:val="nil"/>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Alphaproteobacteria SAR11 clade Ib; uncultured marine bacterium_DQ071161</w:t>
            </w:r>
          </w:p>
        </w:tc>
      </w:tr>
      <w:tr w:rsidR="00B963A0" w:rsidRPr="00B963A0" w:rsidTr="00B963A0">
        <w:trPr>
          <w:divId w:val="1529294589"/>
          <w:trHeight w:val="310"/>
        </w:trPr>
        <w:tc>
          <w:tcPr>
            <w:tcW w:w="939"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OTU_1389</w:t>
            </w:r>
          </w:p>
        </w:tc>
        <w:tc>
          <w:tcPr>
            <w:tcW w:w="873"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w:t>
            </w:r>
          </w:p>
        </w:tc>
        <w:tc>
          <w:tcPr>
            <w:tcW w:w="864"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0.00007</w:t>
            </w:r>
          </w:p>
        </w:tc>
        <w:tc>
          <w:tcPr>
            <w:tcW w:w="937"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0.06859</w:t>
            </w:r>
          </w:p>
        </w:tc>
        <w:tc>
          <w:tcPr>
            <w:tcW w:w="937"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jc w:val="right"/>
              <w:rPr>
                <w:rFonts w:ascii="Arial Narrow" w:eastAsia="Times New Roman" w:hAnsi="Arial Narrow" w:cs="Calibri"/>
                <w:sz w:val="18"/>
                <w:szCs w:val="18"/>
                <w:lang w:eastAsia="en-AU"/>
              </w:rPr>
            </w:pPr>
            <w:r w:rsidRPr="00B963A0">
              <w:rPr>
                <w:rFonts w:ascii="Arial Narrow" w:eastAsia="Times New Roman" w:hAnsi="Arial Narrow" w:cs="Calibri"/>
                <w:sz w:val="18"/>
                <w:szCs w:val="18"/>
                <w:lang w:eastAsia="en-AU"/>
              </w:rPr>
              <w:t>0.00089</w:t>
            </w:r>
          </w:p>
        </w:tc>
        <w:tc>
          <w:tcPr>
            <w:tcW w:w="800"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jc w:val="center"/>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97.48</w:t>
            </w:r>
          </w:p>
        </w:tc>
        <w:tc>
          <w:tcPr>
            <w:tcW w:w="9392" w:type="dxa"/>
            <w:tcBorders>
              <w:top w:val="nil"/>
              <w:left w:val="nil"/>
              <w:bottom w:val="single" w:sz="4" w:space="0" w:color="auto"/>
              <w:right w:val="nil"/>
            </w:tcBorders>
            <w:shd w:val="clear" w:color="auto" w:fill="auto"/>
            <w:noWrap/>
            <w:vAlign w:val="bottom"/>
            <w:hideMark/>
          </w:tcPr>
          <w:p w:rsidR="00B963A0" w:rsidRPr="00B963A0" w:rsidRDefault="00B963A0" w:rsidP="00B963A0">
            <w:pPr>
              <w:spacing w:after="0" w:line="240" w:lineRule="auto"/>
              <w:rPr>
                <w:rFonts w:ascii="Arial Narrow" w:eastAsia="Times New Roman" w:hAnsi="Arial Narrow" w:cs="Calibri"/>
                <w:color w:val="000000"/>
                <w:sz w:val="18"/>
                <w:szCs w:val="18"/>
                <w:lang w:eastAsia="en-AU"/>
              </w:rPr>
            </w:pPr>
            <w:r w:rsidRPr="00B963A0">
              <w:rPr>
                <w:rFonts w:ascii="Arial Narrow" w:eastAsia="Times New Roman" w:hAnsi="Arial Narrow" w:cs="Calibri"/>
                <w:color w:val="000000"/>
                <w:sz w:val="18"/>
                <w:szCs w:val="18"/>
                <w:lang w:eastAsia="en-AU"/>
              </w:rPr>
              <w:t>Proteobacteria; Alphaproteobacteria; Parvibaculales; Parvibaculaceae; uncultured bacterium_JN018677</w:t>
            </w:r>
          </w:p>
        </w:tc>
      </w:tr>
    </w:tbl>
    <w:p w:rsidR="00704B25" w:rsidRDefault="00922FEC" w:rsidP="00EE2699">
      <w:pPr>
        <w:spacing w:before="120" w:after="0" w:line="240" w:lineRule="auto"/>
      </w:pPr>
      <w:r>
        <w:fldChar w:fldCharType="end"/>
      </w:r>
      <w:r w:rsidRPr="00E04948">
        <w:rPr>
          <w:rFonts w:ascii="Arial" w:hAnsi="Arial" w:cs="Arial"/>
          <w:b/>
          <w:bCs/>
          <w:sz w:val="20"/>
          <w:szCs w:val="20"/>
        </w:rPr>
        <w:t>Supp</w:t>
      </w:r>
      <w:r w:rsidR="00E53767">
        <w:rPr>
          <w:rFonts w:ascii="Arial" w:hAnsi="Arial" w:cs="Arial"/>
          <w:b/>
          <w:bCs/>
          <w:sz w:val="20"/>
          <w:szCs w:val="20"/>
        </w:rPr>
        <w:t xml:space="preserve">lementary Table </w:t>
      </w:r>
      <w:r>
        <w:rPr>
          <w:rFonts w:ascii="Arial" w:hAnsi="Arial" w:cs="Arial"/>
          <w:b/>
          <w:bCs/>
          <w:sz w:val="20"/>
          <w:szCs w:val="20"/>
        </w:rPr>
        <w:t>3</w:t>
      </w:r>
      <w:r w:rsidRPr="00E04948">
        <w:rPr>
          <w:rFonts w:ascii="Arial" w:hAnsi="Arial" w:cs="Arial"/>
          <w:b/>
          <w:bCs/>
          <w:sz w:val="20"/>
          <w:szCs w:val="20"/>
        </w:rPr>
        <w:t xml:space="preserve"> </w:t>
      </w:r>
      <w:r w:rsidRPr="00E04948">
        <w:rPr>
          <w:rFonts w:ascii="Arial" w:hAnsi="Arial" w:cs="Arial"/>
          <w:bCs/>
          <w:sz w:val="20"/>
          <w:szCs w:val="20"/>
        </w:rPr>
        <w:t xml:space="preserve">List of the unique OTUs detected from oyster gut samples following Illumina-based </w:t>
      </w:r>
      <w:r>
        <w:rPr>
          <w:rFonts w:ascii="Arial" w:hAnsi="Arial" w:cs="Arial"/>
          <w:bCs/>
          <w:sz w:val="20"/>
          <w:szCs w:val="20"/>
        </w:rPr>
        <w:t xml:space="preserve">16S rRNA (V1-V2) gene </w:t>
      </w:r>
      <w:r w:rsidRPr="00E04948">
        <w:rPr>
          <w:rFonts w:ascii="Arial" w:hAnsi="Arial" w:cs="Arial"/>
          <w:bCs/>
          <w:sz w:val="20"/>
          <w:szCs w:val="20"/>
        </w:rPr>
        <w:t>sequencing</w:t>
      </w:r>
      <w:r>
        <w:rPr>
          <w:rFonts w:ascii="Arial" w:hAnsi="Arial" w:cs="Arial"/>
          <w:bCs/>
          <w:sz w:val="20"/>
          <w:szCs w:val="20"/>
        </w:rPr>
        <w:t>, including their classification, percent identity and closest sequence in RDP</w:t>
      </w:r>
      <w:r w:rsidRPr="00E04948">
        <w:rPr>
          <w:rFonts w:ascii="Arial" w:hAnsi="Arial" w:cs="Arial"/>
          <w:bCs/>
          <w:sz w:val="20"/>
          <w:szCs w:val="20"/>
        </w:rPr>
        <w:t xml:space="preserve">. Highlighted OTUs were not detected from seawater, and the top </w:t>
      </w:r>
      <w:r>
        <w:rPr>
          <w:rFonts w:ascii="Arial" w:hAnsi="Arial" w:cs="Arial"/>
          <w:bCs/>
          <w:sz w:val="20"/>
          <w:szCs w:val="20"/>
        </w:rPr>
        <w:t xml:space="preserve">three </w:t>
      </w:r>
      <w:r w:rsidRPr="00E04948">
        <w:rPr>
          <w:rFonts w:ascii="Arial" w:hAnsi="Arial" w:cs="Arial"/>
          <w:bCs/>
          <w:sz w:val="20"/>
          <w:szCs w:val="20"/>
        </w:rPr>
        <w:t>most abundant (</w:t>
      </w:r>
      <w:r w:rsidR="00286F99" w:rsidRPr="00286F99">
        <w:rPr>
          <w:rFonts w:ascii="Arial" w:hAnsi="Arial" w:cs="Arial"/>
          <w:sz w:val="20"/>
          <w:szCs w:val="20"/>
        </w:rPr>
        <w:t>irrespective of the summer or winter month of sampling</w:t>
      </w:r>
      <w:r w:rsidRPr="00E04948">
        <w:rPr>
          <w:rFonts w:ascii="Arial" w:hAnsi="Arial" w:cs="Arial"/>
          <w:bCs/>
          <w:sz w:val="20"/>
          <w:szCs w:val="20"/>
        </w:rPr>
        <w:t>)</w:t>
      </w:r>
      <w:r>
        <w:rPr>
          <w:rFonts w:ascii="Arial" w:hAnsi="Arial" w:cs="Arial"/>
          <w:bCs/>
          <w:sz w:val="20"/>
          <w:szCs w:val="20"/>
        </w:rPr>
        <w:t xml:space="preserve"> are given in bold.</w:t>
      </w:r>
      <w:r w:rsidR="008927E0">
        <w:fldChar w:fldCharType="begin"/>
      </w:r>
      <w:r w:rsidR="008927E0">
        <w:instrText xml:space="preserve"> LINK Excel.Sheet.12 "D:\\Aquatics work\\Shirin\\Manuscript submission\\Supplementary tables S1-S6.xlsx" "Table S4!R3C1:R9C6" \a \f 4 \h </w:instrText>
      </w:r>
      <w:r w:rsidR="001C377E">
        <w:instrText xml:space="preserve"> \* MERGEFORMAT </w:instrText>
      </w:r>
      <w:r w:rsidR="008927E0">
        <w:fldChar w:fldCharType="separate"/>
      </w:r>
    </w:p>
    <w:tbl>
      <w:tblPr>
        <w:tblW w:w="15168" w:type="dxa"/>
        <w:tblLook w:val="04A0" w:firstRow="1" w:lastRow="0" w:firstColumn="1" w:lastColumn="0" w:noHBand="0" w:noVBand="1"/>
      </w:tblPr>
      <w:tblGrid>
        <w:gridCol w:w="1040"/>
        <w:gridCol w:w="4760"/>
        <w:gridCol w:w="1220"/>
        <w:gridCol w:w="1627"/>
        <w:gridCol w:w="2552"/>
        <w:gridCol w:w="3969"/>
      </w:tblGrid>
      <w:tr w:rsidR="00704B25" w:rsidRPr="00704B25" w:rsidTr="0045452D">
        <w:trPr>
          <w:divId w:val="484202450"/>
          <w:trHeight w:val="310"/>
        </w:trPr>
        <w:tc>
          <w:tcPr>
            <w:tcW w:w="1040" w:type="dxa"/>
            <w:vMerge w:val="restart"/>
            <w:tcBorders>
              <w:top w:val="single" w:sz="4" w:space="0" w:color="auto"/>
              <w:left w:val="nil"/>
              <w:bottom w:val="single" w:sz="4" w:space="0" w:color="000000"/>
              <w:right w:val="nil"/>
            </w:tcBorders>
            <w:shd w:val="clear" w:color="auto" w:fill="auto"/>
            <w:noWrap/>
            <w:vAlign w:val="bottom"/>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r w:rsidRPr="00704B25">
              <w:rPr>
                <w:rFonts w:ascii="Arial" w:eastAsia="Times New Roman" w:hAnsi="Arial" w:cs="Arial"/>
                <w:b/>
                <w:bCs/>
                <w:color w:val="000000"/>
                <w:sz w:val="19"/>
                <w:szCs w:val="19"/>
                <w:lang w:eastAsia="en-AU"/>
              </w:rPr>
              <w:lastRenderedPageBreak/>
              <w:t>OTU #</w:t>
            </w:r>
          </w:p>
        </w:tc>
        <w:tc>
          <w:tcPr>
            <w:tcW w:w="4760" w:type="dxa"/>
            <w:vMerge w:val="restart"/>
            <w:tcBorders>
              <w:top w:val="single" w:sz="4" w:space="0" w:color="auto"/>
              <w:left w:val="nil"/>
              <w:bottom w:val="single" w:sz="4" w:space="0" w:color="000000"/>
              <w:right w:val="nil"/>
            </w:tcBorders>
            <w:shd w:val="clear" w:color="auto" w:fill="auto"/>
            <w:noWrap/>
            <w:vAlign w:val="bottom"/>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r w:rsidRPr="00704B25">
              <w:rPr>
                <w:rFonts w:ascii="Arial" w:eastAsia="Times New Roman" w:hAnsi="Arial" w:cs="Arial"/>
                <w:b/>
                <w:bCs/>
                <w:color w:val="000000"/>
                <w:sz w:val="19"/>
                <w:szCs w:val="19"/>
                <w:lang w:eastAsia="en-AU"/>
              </w:rPr>
              <w:t>Classification</w:t>
            </w:r>
          </w:p>
        </w:tc>
        <w:tc>
          <w:tcPr>
            <w:tcW w:w="1220" w:type="dxa"/>
            <w:vMerge w:val="restart"/>
            <w:tcBorders>
              <w:top w:val="single" w:sz="4" w:space="0" w:color="auto"/>
              <w:left w:val="nil"/>
              <w:bottom w:val="single" w:sz="4" w:space="0" w:color="000000"/>
              <w:right w:val="nil"/>
            </w:tcBorders>
            <w:shd w:val="clear" w:color="auto" w:fill="auto"/>
            <w:noWrap/>
            <w:vAlign w:val="bottom"/>
            <w:hideMark/>
          </w:tcPr>
          <w:p w:rsidR="00704B25" w:rsidRPr="00704B25" w:rsidRDefault="00704B25" w:rsidP="00704B25">
            <w:pPr>
              <w:spacing w:after="0" w:line="240" w:lineRule="auto"/>
              <w:jc w:val="center"/>
              <w:rPr>
                <w:rFonts w:ascii="Arial" w:eastAsia="Times New Roman" w:hAnsi="Arial" w:cs="Arial"/>
                <w:b/>
                <w:bCs/>
                <w:color w:val="000000"/>
                <w:sz w:val="19"/>
                <w:szCs w:val="19"/>
                <w:lang w:eastAsia="en-AU"/>
              </w:rPr>
            </w:pPr>
            <w:r w:rsidRPr="00704B25">
              <w:rPr>
                <w:rFonts w:ascii="Arial" w:eastAsia="Times New Roman" w:hAnsi="Arial" w:cs="Arial"/>
                <w:b/>
                <w:bCs/>
                <w:i/>
                <w:iCs/>
                <w:color w:val="000000"/>
                <w:sz w:val="19"/>
                <w:szCs w:val="19"/>
                <w:lang w:eastAsia="en-AU"/>
              </w:rPr>
              <w:t>p-value</w:t>
            </w:r>
          </w:p>
        </w:tc>
        <w:tc>
          <w:tcPr>
            <w:tcW w:w="1627" w:type="dxa"/>
            <w:vMerge w:val="restart"/>
            <w:tcBorders>
              <w:top w:val="single" w:sz="4" w:space="0" w:color="auto"/>
              <w:left w:val="nil"/>
              <w:bottom w:val="single" w:sz="4" w:space="0" w:color="000000"/>
              <w:right w:val="nil"/>
            </w:tcBorders>
            <w:shd w:val="clear" w:color="auto" w:fill="auto"/>
            <w:noWrap/>
            <w:vAlign w:val="bottom"/>
            <w:hideMark/>
          </w:tcPr>
          <w:p w:rsidR="00704B25" w:rsidRPr="00704B25" w:rsidRDefault="00704B25" w:rsidP="00704B25">
            <w:pPr>
              <w:spacing w:after="0" w:line="240" w:lineRule="auto"/>
              <w:jc w:val="center"/>
              <w:rPr>
                <w:rFonts w:ascii="Arial" w:eastAsia="Times New Roman" w:hAnsi="Arial" w:cs="Arial"/>
                <w:b/>
                <w:bCs/>
                <w:color w:val="000000"/>
                <w:sz w:val="19"/>
                <w:szCs w:val="19"/>
                <w:lang w:eastAsia="en-AU"/>
              </w:rPr>
            </w:pPr>
            <w:r w:rsidRPr="00704B25">
              <w:rPr>
                <w:rFonts w:ascii="Arial" w:eastAsia="Times New Roman" w:hAnsi="Arial" w:cs="Arial"/>
                <w:b/>
                <w:bCs/>
                <w:color w:val="000000"/>
                <w:sz w:val="19"/>
                <w:szCs w:val="19"/>
                <w:lang w:eastAsia="en-AU"/>
              </w:rPr>
              <w:t>LDA score</w:t>
            </w:r>
          </w:p>
        </w:tc>
        <w:tc>
          <w:tcPr>
            <w:tcW w:w="6521" w:type="dxa"/>
            <w:gridSpan w:val="2"/>
            <w:tcBorders>
              <w:top w:val="single" w:sz="4" w:space="0" w:color="auto"/>
              <w:left w:val="nil"/>
              <w:bottom w:val="nil"/>
              <w:right w:val="nil"/>
            </w:tcBorders>
            <w:shd w:val="clear" w:color="auto" w:fill="auto"/>
            <w:noWrap/>
            <w:vAlign w:val="bottom"/>
            <w:hideMark/>
          </w:tcPr>
          <w:p w:rsidR="00704B25" w:rsidRPr="00704B25" w:rsidRDefault="00704B25" w:rsidP="00704B25">
            <w:pPr>
              <w:spacing w:after="0" w:line="240" w:lineRule="auto"/>
              <w:jc w:val="center"/>
              <w:rPr>
                <w:rFonts w:ascii="Arial" w:eastAsia="Times New Roman" w:hAnsi="Arial" w:cs="Arial"/>
                <w:b/>
                <w:bCs/>
                <w:color w:val="000000"/>
                <w:sz w:val="20"/>
                <w:szCs w:val="20"/>
                <w:lang w:eastAsia="en-AU"/>
              </w:rPr>
            </w:pPr>
            <w:r w:rsidRPr="00704B25">
              <w:rPr>
                <w:rFonts w:ascii="Arial" w:eastAsia="Times New Roman" w:hAnsi="Arial" w:cs="Arial"/>
                <w:b/>
                <w:bCs/>
                <w:color w:val="000000"/>
                <w:sz w:val="20"/>
                <w:szCs w:val="20"/>
                <w:lang w:eastAsia="en-AU"/>
              </w:rPr>
              <w:t>Mean abundance (%)</w:t>
            </w:r>
          </w:p>
        </w:tc>
      </w:tr>
      <w:tr w:rsidR="00704B25" w:rsidRPr="00704B25" w:rsidTr="0045452D">
        <w:trPr>
          <w:divId w:val="484202450"/>
          <w:trHeight w:val="310"/>
        </w:trPr>
        <w:tc>
          <w:tcPr>
            <w:tcW w:w="1040" w:type="dxa"/>
            <w:vMerge/>
            <w:tcBorders>
              <w:top w:val="single" w:sz="4" w:space="0" w:color="auto"/>
              <w:left w:val="nil"/>
              <w:bottom w:val="single" w:sz="4" w:space="0" w:color="000000"/>
              <w:right w:val="nil"/>
            </w:tcBorders>
            <w:vAlign w:val="center"/>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p>
        </w:tc>
        <w:tc>
          <w:tcPr>
            <w:tcW w:w="4760" w:type="dxa"/>
            <w:vMerge/>
            <w:tcBorders>
              <w:top w:val="single" w:sz="4" w:space="0" w:color="auto"/>
              <w:left w:val="nil"/>
              <w:bottom w:val="single" w:sz="4" w:space="0" w:color="000000"/>
              <w:right w:val="nil"/>
            </w:tcBorders>
            <w:vAlign w:val="center"/>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p>
        </w:tc>
        <w:tc>
          <w:tcPr>
            <w:tcW w:w="1220" w:type="dxa"/>
            <w:vMerge/>
            <w:tcBorders>
              <w:top w:val="single" w:sz="4" w:space="0" w:color="auto"/>
              <w:left w:val="nil"/>
              <w:bottom w:val="single" w:sz="4" w:space="0" w:color="000000"/>
              <w:right w:val="nil"/>
            </w:tcBorders>
            <w:vAlign w:val="center"/>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p>
        </w:tc>
        <w:tc>
          <w:tcPr>
            <w:tcW w:w="1627" w:type="dxa"/>
            <w:vMerge/>
            <w:tcBorders>
              <w:top w:val="single" w:sz="4" w:space="0" w:color="auto"/>
              <w:left w:val="nil"/>
              <w:bottom w:val="single" w:sz="4" w:space="0" w:color="000000"/>
              <w:right w:val="nil"/>
            </w:tcBorders>
            <w:vAlign w:val="center"/>
            <w:hideMark/>
          </w:tcPr>
          <w:p w:rsidR="00704B25" w:rsidRPr="00704B25" w:rsidRDefault="00704B25" w:rsidP="00704B25">
            <w:pPr>
              <w:spacing w:after="0" w:line="240" w:lineRule="auto"/>
              <w:rPr>
                <w:rFonts w:ascii="Arial" w:eastAsia="Times New Roman" w:hAnsi="Arial" w:cs="Arial"/>
                <w:b/>
                <w:bCs/>
                <w:color w:val="000000"/>
                <w:sz w:val="19"/>
                <w:szCs w:val="19"/>
                <w:lang w:eastAsia="en-AU"/>
              </w:rPr>
            </w:pPr>
          </w:p>
        </w:tc>
        <w:tc>
          <w:tcPr>
            <w:tcW w:w="2552" w:type="dxa"/>
            <w:tcBorders>
              <w:top w:val="nil"/>
              <w:left w:val="nil"/>
              <w:bottom w:val="single" w:sz="4" w:space="0" w:color="auto"/>
              <w:right w:val="nil"/>
            </w:tcBorders>
            <w:shd w:val="clear" w:color="auto" w:fill="auto"/>
            <w:noWrap/>
            <w:vAlign w:val="bottom"/>
            <w:hideMark/>
          </w:tcPr>
          <w:p w:rsidR="00704B25" w:rsidRPr="00704B25" w:rsidRDefault="00704B25" w:rsidP="00704B25">
            <w:pPr>
              <w:spacing w:after="0" w:line="240" w:lineRule="auto"/>
              <w:jc w:val="center"/>
              <w:rPr>
                <w:rFonts w:ascii="Arial" w:eastAsia="Times New Roman" w:hAnsi="Arial" w:cs="Arial"/>
                <w:b/>
                <w:bCs/>
                <w:color w:val="000000"/>
                <w:sz w:val="20"/>
                <w:szCs w:val="20"/>
                <w:lang w:eastAsia="en-AU"/>
              </w:rPr>
            </w:pPr>
            <w:r w:rsidRPr="00704B25">
              <w:rPr>
                <w:rFonts w:ascii="Arial" w:eastAsia="Times New Roman" w:hAnsi="Arial" w:cs="Arial"/>
                <w:b/>
                <w:bCs/>
                <w:color w:val="000000"/>
                <w:sz w:val="20"/>
                <w:szCs w:val="20"/>
                <w:lang w:eastAsia="en-AU"/>
              </w:rPr>
              <w:t>Small mussels (&lt;40mm)</w:t>
            </w:r>
          </w:p>
        </w:tc>
        <w:tc>
          <w:tcPr>
            <w:tcW w:w="3969" w:type="dxa"/>
            <w:tcBorders>
              <w:top w:val="nil"/>
              <w:left w:val="nil"/>
              <w:bottom w:val="single" w:sz="4" w:space="0" w:color="auto"/>
              <w:right w:val="nil"/>
            </w:tcBorders>
            <w:shd w:val="clear" w:color="auto" w:fill="auto"/>
            <w:noWrap/>
            <w:vAlign w:val="bottom"/>
            <w:hideMark/>
          </w:tcPr>
          <w:p w:rsidR="00704B25" w:rsidRPr="00704B25" w:rsidRDefault="00704B25" w:rsidP="00704B25">
            <w:pPr>
              <w:spacing w:after="0" w:line="240" w:lineRule="auto"/>
              <w:jc w:val="center"/>
              <w:rPr>
                <w:rFonts w:ascii="Arial" w:eastAsia="Times New Roman" w:hAnsi="Arial" w:cs="Arial"/>
                <w:b/>
                <w:bCs/>
                <w:color w:val="000000"/>
                <w:sz w:val="20"/>
                <w:szCs w:val="20"/>
                <w:lang w:eastAsia="en-AU"/>
              </w:rPr>
            </w:pPr>
            <w:r w:rsidRPr="00704B25">
              <w:rPr>
                <w:rFonts w:ascii="Arial" w:eastAsia="Times New Roman" w:hAnsi="Arial" w:cs="Arial"/>
                <w:b/>
                <w:bCs/>
                <w:color w:val="000000"/>
                <w:sz w:val="20"/>
                <w:szCs w:val="20"/>
                <w:lang w:eastAsia="en-AU"/>
              </w:rPr>
              <w:t>Large mussels (&gt;60mm)</w:t>
            </w:r>
          </w:p>
        </w:tc>
      </w:tr>
      <w:tr w:rsidR="00704B25" w:rsidRPr="00704B25" w:rsidTr="0045452D">
        <w:trPr>
          <w:divId w:val="484202450"/>
          <w:trHeight w:val="460"/>
        </w:trPr>
        <w:tc>
          <w:tcPr>
            <w:tcW w:w="104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OTU_51</w:t>
            </w:r>
          </w:p>
        </w:tc>
        <w:tc>
          <w:tcPr>
            <w:tcW w:w="4760" w:type="dxa"/>
            <w:tcBorders>
              <w:top w:val="nil"/>
              <w:left w:val="nil"/>
              <w:bottom w:val="nil"/>
              <w:right w:val="nil"/>
            </w:tcBorders>
            <w:shd w:val="clear" w:color="auto" w:fill="auto"/>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 xml:space="preserve">Tenericutes; Mycoplasmataceae, Mycoplasma </w:t>
            </w:r>
          </w:p>
        </w:tc>
        <w:tc>
          <w:tcPr>
            <w:tcW w:w="122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right"/>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0.00037654</w:t>
            </w:r>
          </w:p>
        </w:tc>
        <w:tc>
          <w:tcPr>
            <w:tcW w:w="1627"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center"/>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-4.99</w:t>
            </w:r>
          </w:p>
        </w:tc>
        <w:tc>
          <w:tcPr>
            <w:tcW w:w="2552"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3.770</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0.1511, max 15.604)</w:t>
            </w:r>
          </w:p>
        </w:tc>
        <w:tc>
          <w:tcPr>
            <w:tcW w:w="3969"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23.496</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1.493, max 86.585)</w:t>
            </w:r>
          </w:p>
        </w:tc>
      </w:tr>
      <w:tr w:rsidR="00704B25" w:rsidRPr="00704B25" w:rsidTr="0045452D">
        <w:trPr>
          <w:divId w:val="484202450"/>
          <w:trHeight w:val="460"/>
        </w:trPr>
        <w:tc>
          <w:tcPr>
            <w:tcW w:w="104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OTU_115</w:t>
            </w:r>
          </w:p>
        </w:tc>
        <w:tc>
          <w:tcPr>
            <w:tcW w:w="4760" w:type="dxa"/>
            <w:tcBorders>
              <w:top w:val="nil"/>
              <w:left w:val="nil"/>
              <w:bottom w:val="nil"/>
              <w:right w:val="nil"/>
            </w:tcBorders>
            <w:shd w:val="clear" w:color="auto" w:fill="auto"/>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 xml:space="preserve">Tenericutes; Mycoplasmataceae, Mycoplasma </w:t>
            </w:r>
          </w:p>
        </w:tc>
        <w:tc>
          <w:tcPr>
            <w:tcW w:w="122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right"/>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0.0013985</w:t>
            </w:r>
          </w:p>
        </w:tc>
        <w:tc>
          <w:tcPr>
            <w:tcW w:w="1627"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center"/>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3.48</w:t>
            </w:r>
          </w:p>
        </w:tc>
        <w:tc>
          <w:tcPr>
            <w:tcW w:w="2552"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0.769</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0.003, max 3.598)</w:t>
            </w:r>
          </w:p>
        </w:tc>
        <w:tc>
          <w:tcPr>
            <w:tcW w:w="3969"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0.161</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1.814)</w:t>
            </w:r>
          </w:p>
        </w:tc>
      </w:tr>
      <w:tr w:rsidR="00704B25" w:rsidRPr="00704B25" w:rsidTr="0045452D">
        <w:trPr>
          <w:divId w:val="484202450"/>
          <w:trHeight w:val="460"/>
        </w:trPr>
        <w:tc>
          <w:tcPr>
            <w:tcW w:w="104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OTU_79</w:t>
            </w:r>
          </w:p>
        </w:tc>
        <w:tc>
          <w:tcPr>
            <w:tcW w:w="476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Bacteroidetes; Cyclobacteriaceae; Marinoscillum</w:t>
            </w:r>
          </w:p>
        </w:tc>
        <w:tc>
          <w:tcPr>
            <w:tcW w:w="122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right"/>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0.0042272</w:t>
            </w:r>
          </w:p>
        </w:tc>
        <w:tc>
          <w:tcPr>
            <w:tcW w:w="1627"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center"/>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1.88</w:t>
            </w:r>
          </w:p>
        </w:tc>
        <w:tc>
          <w:tcPr>
            <w:tcW w:w="2552"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0.021</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0.083)</w:t>
            </w:r>
          </w:p>
        </w:tc>
        <w:tc>
          <w:tcPr>
            <w:tcW w:w="3969"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0.006</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0.017)</w:t>
            </w:r>
          </w:p>
        </w:tc>
      </w:tr>
      <w:tr w:rsidR="00704B25" w:rsidRPr="00704B25" w:rsidTr="0045452D">
        <w:trPr>
          <w:divId w:val="484202450"/>
          <w:trHeight w:val="460"/>
        </w:trPr>
        <w:tc>
          <w:tcPr>
            <w:tcW w:w="104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OTU_44</w:t>
            </w:r>
          </w:p>
        </w:tc>
        <w:tc>
          <w:tcPr>
            <w:tcW w:w="476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Bacteroidetes; Flavobacteriaceae NS5 marine group</w:t>
            </w:r>
          </w:p>
        </w:tc>
        <w:tc>
          <w:tcPr>
            <w:tcW w:w="1220"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right"/>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0.0047105</w:t>
            </w:r>
          </w:p>
        </w:tc>
        <w:tc>
          <w:tcPr>
            <w:tcW w:w="1627" w:type="dxa"/>
            <w:tcBorders>
              <w:top w:val="nil"/>
              <w:left w:val="nil"/>
              <w:bottom w:val="nil"/>
              <w:right w:val="nil"/>
            </w:tcBorders>
            <w:shd w:val="clear" w:color="auto" w:fill="auto"/>
            <w:noWrap/>
            <w:vAlign w:val="center"/>
            <w:hideMark/>
          </w:tcPr>
          <w:p w:rsidR="00704B25" w:rsidRPr="00704B25" w:rsidRDefault="00704B25" w:rsidP="00704B25">
            <w:pPr>
              <w:spacing w:after="0" w:line="240" w:lineRule="auto"/>
              <w:jc w:val="center"/>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2.1</w:t>
            </w:r>
          </w:p>
        </w:tc>
        <w:tc>
          <w:tcPr>
            <w:tcW w:w="2552"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0.035</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0.331)</w:t>
            </w:r>
          </w:p>
        </w:tc>
        <w:tc>
          <w:tcPr>
            <w:tcW w:w="3969" w:type="dxa"/>
            <w:tcBorders>
              <w:top w:val="nil"/>
              <w:left w:val="nil"/>
              <w:bottom w:val="nil"/>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 xml:space="preserve">0.010 </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0.068)</w:t>
            </w:r>
          </w:p>
        </w:tc>
      </w:tr>
      <w:tr w:rsidR="00704B25" w:rsidRPr="00704B25" w:rsidTr="0045452D">
        <w:trPr>
          <w:divId w:val="484202450"/>
          <w:trHeight w:val="460"/>
        </w:trPr>
        <w:tc>
          <w:tcPr>
            <w:tcW w:w="1040" w:type="dxa"/>
            <w:tcBorders>
              <w:top w:val="nil"/>
              <w:left w:val="nil"/>
              <w:bottom w:val="single" w:sz="4" w:space="0" w:color="auto"/>
              <w:right w:val="nil"/>
            </w:tcBorders>
            <w:shd w:val="clear" w:color="auto" w:fill="auto"/>
            <w:noWrap/>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OTU_167</w:t>
            </w:r>
          </w:p>
        </w:tc>
        <w:tc>
          <w:tcPr>
            <w:tcW w:w="4760" w:type="dxa"/>
            <w:tcBorders>
              <w:top w:val="nil"/>
              <w:left w:val="nil"/>
              <w:bottom w:val="single" w:sz="4" w:space="0" w:color="auto"/>
              <w:right w:val="nil"/>
            </w:tcBorders>
            <w:shd w:val="clear" w:color="auto" w:fill="auto"/>
            <w:vAlign w:val="center"/>
            <w:hideMark/>
          </w:tcPr>
          <w:p w:rsidR="00704B25" w:rsidRPr="00704B25" w:rsidRDefault="00704B25" w:rsidP="00704B25">
            <w:pPr>
              <w:spacing w:after="0" w:line="240" w:lineRule="auto"/>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 xml:space="preserve">Tenericutes; Mycoplasmataceae, Mycoplasma </w:t>
            </w:r>
          </w:p>
        </w:tc>
        <w:tc>
          <w:tcPr>
            <w:tcW w:w="1220" w:type="dxa"/>
            <w:tcBorders>
              <w:top w:val="nil"/>
              <w:left w:val="nil"/>
              <w:bottom w:val="single" w:sz="4" w:space="0" w:color="auto"/>
              <w:right w:val="nil"/>
            </w:tcBorders>
            <w:shd w:val="clear" w:color="auto" w:fill="auto"/>
            <w:noWrap/>
            <w:vAlign w:val="center"/>
            <w:hideMark/>
          </w:tcPr>
          <w:p w:rsidR="00704B25" w:rsidRPr="00704B25" w:rsidRDefault="00704B25" w:rsidP="00704B25">
            <w:pPr>
              <w:spacing w:after="0" w:line="240" w:lineRule="auto"/>
              <w:jc w:val="right"/>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0.0079834</w:t>
            </w:r>
          </w:p>
        </w:tc>
        <w:tc>
          <w:tcPr>
            <w:tcW w:w="1627" w:type="dxa"/>
            <w:tcBorders>
              <w:top w:val="nil"/>
              <w:left w:val="nil"/>
              <w:bottom w:val="single" w:sz="4" w:space="0" w:color="auto"/>
              <w:right w:val="nil"/>
            </w:tcBorders>
            <w:shd w:val="clear" w:color="auto" w:fill="auto"/>
            <w:noWrap/>
            <w:vAlign w:val="center"/>
            <w:hideMark/>
          </w:tcPr>
          <w:p w:rsidR="00704B25" w:rsidRPr="00704B25" w:rsidRDefault="00704B25" w:rsidP="00704B25">
            <w:pPr>
              <w:spacing w:after="0" w:line="240" w:lineRule="auto"/>
              <w:jc w:val="center"/>
              <w:rPr>
                <w:rFonts w:ascii="Arial" w:eastAsia="Times New Roman" w:hAnsi="Arial" w:cs="Arial"/>
                <w:color w:val="000000"/>
                <w:sz w:val="19"/>
                <w:szCs w:val="19"/>
                <w:lang w:eastAsia="en-AU"/>
              </w:rPr>
            </w:pPr>
            <w:r w:rsidRPr="00704B25">
              <w:rPr>
                <w:rFonts w:ascii="Arial" w:eastAsia="Times New Roman" w:hAnsi="Arial" w:cs="Arial"/>
                <w:color w:val="000000"/>
                <w:sz w:val="19"/>
                <w:szCs w:val="19"/>
                <w:lang w:eastAsia="en-AU"/>
              </w:rPr>
              <w:t>2.81</w:t>
            </w:r>
          </w:p>
        </w:tc>
        <w:tc>
          <w:tcPr>
            <w:tcW w:w="2552" w:type="dxa"/>
            <w:tcBorders>
              <w:top w:val="nil"/>
              <w:left w:val="nil"/>
              <w:bottom w:val="single" w:sz="4" w:space="0" w:color="auto"/>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0.135</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1.374)</w:t>
            </w:r>
          </w:p>
        </w:tc>
        <w:tc>
          <w:tcPr>
            <w:tcW w:w="3969" w:type="dxa"/>
            <w:tcBorders>
              <w:top w:val="nil"/>
              <w:left w:val="nil"/>
              <w:bottom w:val="single" w:sz="4" w:space="0" w:color="auto"/>
              <w:right w:val="nil"/>
            </w:tcBorders>
            <w:shd w:val="clear" w:color="auto" w:fill="auto"/>
            <w:vAlign w:val="center"/>
            <w:hideMark/>
          </w:tcPr>
          <w:p w:rsidR="00704B25" w:rsidRPr="00704B25" w:rsidRDefault="00704B25" w:rsidP="00704B25">
            <w:pPr>
              <w:spacing w:after="0" w:line="240" w:lineRule="auto"/>
              <w:jc w:val="center"/>
              <w:rPr>
                <w:rFonts w:ascii="Arial" w:eastAsia="Times New Roman" w:hAnsi="Arial" w:cs="Arial"/>
                <w:color w:val="000000"/>
                <w:sz w:val="20"/>
                <w:szCs w:val="20"/>
                <w:lang w:eastAsia="en-AU"/>
              </w:rPr>
            </w:pPr>
            <w:r w:rsidRPr="00704B25">
              <w:rPr>
                <w:rFonts w:ascii="Arial" w:eastAsia="Times New Roman" w:hAnsi="Arial" w:cs="Arial"/>
                <w:color w:val="000000"/>
                <w:sz w:val="20"/>
                <w:szCs w:val="20"/>
                <w:lang w:eastAsia="en-AU"/>
              </w:rPr>
              <w:t>0.008</w:t>
            </w:r>
            <w:r w:rsidRPr="00704B25">
              <w:rPr>
                <w:rFonts w:ascii="Arial" w:eastAsia="Times New Roman" w:hAnsi="Arial" w:cs="Arial"/>
                <w:color w:val="000000"/>
                <w:sz w:val="20"/>
                <w:szCs w:val="20"/>
                <w:lang w:eastAsia="en-AU"/>
              </w:rPr>
              <w:br/>
            </w:r>
            <w:r w:rsidRPr="00704B25">
              <w:rPr>
                <w:rFonts w:ascii="Arial" w:eastAsia="Times New Roman" w:hAnsi="Arial" w:cs="Arial"/>
                <w:color w:val="000000"/>
                <w:sz w:val="16"/>
                <w:szCs w:val="16"/>
                <w:lang w:eastAsia="en-AU"/>
              </w:rPr>
              <w:t>(min 0, max 0.089)</w:t>
            </w:r>
          </w:p>
        </w:tc>
      </w:tr>
    </w:tbl>
    <w:p w:rsidR="001C377E" w:rsidRPr="00E04948" w:rsidRDefault="008927E0" w:rsidP="00EE2699">
      <w:pPr>
        <w:spacing w:before="120" w:after="0" w:line="240" w:lineRule="auto"/>
        <w:rPr>
          <w:rFonts w:ascii="Arial" w:hAnsi="Arial" w:cs="Arial"/>
          <w:bCs/>
          <w:sz w:val="20"/>
          <w:szCs w:val="20"/>
        </w:rPr>
      </w:pPr>
      <w:r>
        <w:rPr>
          <w:rFonts w:ascii="Arial" w:hAnsi="Arial" w:cs="Arial"/>
          <w:b/>
          <w:bCs/>
          <w:sz w:val="20"/>
          <w:szCs w:val="20"/>
        </w:rPr>
        <w:fldChar w:fldCharType="end"/>
      </w:r>
      <w:r w:rsidR="001C377E" w:rsidRPr="00E04948">
        <w:rPr>
          <w:rFonts w:ascii="Arial" w:hAnsi="Arial" w:cs="Arial"/>
          <w:b/>
          <w:bCs/>
          <w:sz w:val="20"/>
          <w:szCs w:val="20"/>
        </w:rPr>
        <w:t>Supp</w:t>
      </w:r>
      <w:r w:rsidR="00E53767">
        <w:rPr>
          <w:rFonts w:ascii="Arial" w:hAnsi="Arial" w:cs="Arial"/>
          <w:b/>
          <w:bCs/>
          <w:sz w:val="20"/>
          <w:szCs w:val="20"/>
        </w:rPr>
        <w:t xml:space="preserve">lementary Table </w:t>
      </w:r>
      <w:r w:rsidR="001C377E">
        <w:rPr>
          <w:rFonts w:ascii="Arial" w:hAnsi="Arial" w:cs="Arial"/>
          <w:b/>
          <w:bCs/>
          <w:sz w:val="20"/>
          <w:szCs w:val="20"/>
        </w:rPr>
        <w:t>4</w:t>
      </w:r>
      <w:r w:rsidR="001C377E" w:rsidRPr="00E04948">
        <w:rPr>
          <w:rFonts w:ascii="Arial" w:hAnsi="Arial" w:cs="Arial"/>
          <w:b/>
          <w:bCs/>
          <w:sz w:val="20"/>
          <w:szCs w:val="20"/>
        </w:rPr>
        <w:t xml:space="preserve"> </w:t>
      </w:r>
      <w:r w:rsidR="001C377E" w:rsidRPr="00922FEC">
        <w:rPr>
          <w:rFonts w:ascii="Arial" w:hAnsi="Arial" w:cs="Arial"/>
          <w:bCs/>
          <w:sz w:val="20"/>
          <w:szCs w:val="20"/>
        </w:rPr>
        <w:t xml:space="preserve"> </w:t>
      </w:r>
      <w:r w:rsidR="001C377E" w:rsidRPr="001C377E">
        <w:rPr>
          <w:rFonts w:ascii="Arial" w:hAnsi="Arial" w:cs="Arial"/>
          <w:bCs/>
          <w:sz w:val="20"/>
          <w:szCs w:val="20"/>
        </w:rPr>
        <w:t xml:space="preserve">List of the significant differentially abundant OTUs observed from large and small summer mussel samples as determined using the Kruskal-Wallis rank test (unadjusted </w:t>
      </w:r>
      <w:r w:rsidR="001C377E" w:rsidRPr="001C377E">
        <w:rPr>
          <w:rFonts w:ascii="Arial" w:hAnsi="Arial" w:cs="Arial"/>
          <w:bCs/>
          <w:i/>
          <w:sz w:val="20"/>
          <w:szCs w:val="20"/>
        </w:rPr>
        <w:t>p</w:t>
      </w:r>
      <w:r w:rsidR="001C377E" w:rsidRPr="001C377E">
        <w:rPr>
          <w:rFonts w:ascii="Arial" w:hAnsi="Arial" w:cs="Arial"/>
          <w:bCs/>
          <w:sz w:val="20"/>
          <w:szCs w:val="20"/>
        </w:rPr>
        <w:t>-value cut off = 0.01). The Log LDA Score cut-off value was adjusted to 1.0 and significant taxa are given in descending order from the highest to lowest LDA score. Mean abundances (%) are presented for each, with ranges given in parentheses.</w:t>
      </w:r>
    </w:p>
    <w:p w:rsidR="00011C63" w:rsidRDefault="00011C63"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p w:rsidR="00B963A0" w:rsidRDefault="00B963A0" w:rsidP="001C377E">
      <w:pPr>
        <w:spacing w:before="120" w:after="0" w:line="269" w:lineRule="auto"/>
        <w:rPr>
          <w:rFonts w:ascii="Arial" w:hAnsi="Arial" w:cs="Arial"/>
          <w:b/>
          <w:bCs/>
          <w:sz w:val="20"/>
          <w:szCs w:val="20"/>
        </w:rPr>
      </w:pPr>
    </w:p>
    <w:tbl>
      <w:tblPr>
        <w:tblpPr w:leftFromText="180" w:rightFromText="180" w:vertAnchor="text" w:horzAnchor="margin" w:tblpY="-148"/>
        <w:tblW w:w="15451" w:type="dxa"/>
        <w:tblLook w:val="04A0" w:firstRow="1" w:lastRow="0" w:firstColumn="1" w:lastColumn="0" w:noHBand="0" w:noVBand="1"/>
      </w:tblPr>
      <w:tblGrid>
        <w:gridCol w:w="2977"/>
        <w:gridCol w:w="992"/>
        <w:gridCol w:w="709"/>
        <w:gridCol w:w="1843"/>
        <w:gridCol w:w="1701"/>
        <w:gridCol w:w="1843"/>
        <w:gridCol w:w="1701"/>
        <w:gridCol w:w="1842"/>
        <w:gridCol w:w="1843"/>
      </w:tblGrid>
      <w:tr w:rsidR="00AD5B16" w:rsidRPr="009E5126" w:rsidTr="00AD5B16">
        <w:trPr>
          <w:trHeight w:val="240"/>
        </w:trPr>
        <w:tc>
          <w:tcPr>
            <w:tcW w:w="2977" w:type="dxa"/>
            <w:vMerge w:val="restart"/>
            <w:tcBorders>
              <w:top w:val="single" w:sz="4" w:space="0" w:color="auto"/>
              <w:left w:val="nil"/>
              <w:bottom w:val="single" w:sz="4" w:space="0" w:color="000000"/>
              <w:right w:val="nil"/>
            </w:tcBorders>
            <w:shd w:val="clear" w:color="auto" w:fill="auto"/>
            <w:noWrap/>
            <w:vAlign w:val="bottom"/>
            <w:hideMark/>
          </w:tcPr>
          <w:p w:rsidR="009E5126" w:rsidRPr="009E5126" w:rsidRDefault="009E5126" w:rsidP="009E5126">
            <w:pPr>
              <w:spacing w:after="0" w:line="240" w:lineRule="auto"/>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lastRenderedPageBreak/>
              <w:t>Classification</w:t>
            </w:r>
          </w:p>
        </w:tc>
        <w:tc>
          <w:tcPr>
            <w:tcW w:w="992" w:type="dxa"/>
            <w:vMerge w:val="restart"/>
            <w:tcBorders>
              <w:top w:val="single" w:sz="4" w:space="0" w:color="auto"/>
              <w:left w:val="nil"/>
              <w:bottom w:val="single" w:sz="4" w:space="0" w:color="000000"/>
              <w:right w:val="nil"/>
            </w:tcBorders>
            <w:shd w:val="clear" w:color="auto" w:fill="auto"/>
            <w:noWrap/>
            <w:vAlign w:val="bottom"/>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FDR</w:t>
            </w:r>
          </w:p>
        </w:tc>
        <w:tc>
          <w:tcPr>
            <w:tcW w:w="709" w:type="dxa"/>
            <w:vMerge w:val="restart"/>
            <w:tcBorders>
              <w:top w:val="single" w:sz="4" w:space="0" w:color="auto"/>
              <w:left w:val="nil"/>
              <w:bottom w:val="single" w:sz="4" w:space="0" w:color="000000"/>
              <w:right w:val="nil"/>
            </w:tcBorders>
            <w:shd w:val="clear" w:color="auto" w:fill="auto"/>
            <w:vAlign w:val="bottom"/>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LDA score</w:t>
            </w:r>
          </w:p>
        </w:tc>
        <w:tc>
          <w:tcPr>
            <w:tcW w:w="10773" w:type="dxa"/>
            <w:gridSpan w:val="6"/>
            <w:tcBorders>
              <w:top w:val="single" w:sz="4" w:space="0" w:color="auto"/>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Mean abundance (%)</w:t>
            </w:r>
          </w:p>
        </w:tc>
      </w:tr>
      <w:tr w:rsidR="009E5126" w:rsidRPr="009E5126" w:rsidTr="00AD5B16">
        <w:trPr>
          <w:trHeight w:val="300"/>
        </w:trPr>
        <w:tc>
          <w:tcPr>
            <w:tcW w:w="2977" w:type="dxa"/>
            <w:vMerge/>
            <w:tcBorders>
              <w:top w:val="single" w:sz="4" w:space="0" w:color="auto"/>
              <w:left w:val="nil"/>
              <w:bottom w:val="single" w:sz="4" w:space="0" w:color="000000"/>
              <w:right w:val="nil"/>
            </w:tcBorders>
            <w:vAlign w:val="center"/>
            <w:hideMark/>
          </w:tcPr>
          <w:p w:rsidR="009E5126" w:rsidRPr="009E5126" w:rsidRDefault="009E5126" w:rsidP="009E5126">
            <w:pPr>
              <w:spacing w:after="0" w:line="240" w:lineRule="auto"/>
              <w:rPr>
                <w:rFonts w:ascii="Arial Narrow" w:eastAsia="Times New Roman" w:hAnsi="Arial Narrow" w:cs="Calibri"/>
                <w:b/>
                <w:bCs/>
                <w:color w:val="000000"/>
                <w:sz w:val="19"/>
                <w:szCs w:val="19"/>
                <w:lang w:eastAsia="en-AU"/>
              </w:rPr>
            </w:pPr>
          </w:p>
        </w:tc>
        <w:tc>
          <w:tcPr>
            <w:tcW w:w="992" w:type="dxa"/>
            <w:vMerge/>
            <w:tcBorders>
              <w:top w:val="single" w:sz="4" w:space="0" w:color="auto"/>
              <w:left w:val="nil"/>
              <w:bottom w:val="single" w:sz="4" w:space="0" w:color="000000"/>
              <w:right w:val="nil"/>
            </w:tcBorders>
            <w:vAlign w:val="center"/>
            <w:hideMark/>
          </w:tcPr>
          <w:p w:rsidR="009E5126" w:rsidRPr="009E5126" w:rsidRDefault="009E5126" w:rsidP="009E5126">
            <w:pPr>
              <w:spacing w:after="0" w:line="240" w:lineRule="auto"/>
              <w:rPr>
                <w:rFonts w:ascii="Arial Narrow" w:eastAsia="Times New Roman" w:hAnsi="Arial Narrow" w:cs="Calibri"/>
                <w:b/>
                <w:bCs/>
                <w:color w:val="000000"/>
                <w:sz w:val="19"/>
                <w:szCs w:val="19"/>
                <w:lang w:eastAsia="en-AU"/>
              </w:rPr>
            </w:pPr>
          </w:p>
        </w:tc>
        <w:tc>
          <w:tcPr>
            <w:tcW w:w="709" w:type="dxa"/>
            <w:vMerge/>
            <w:tcBorders>
              <w:top w:val="single" w:sz="4" w:space="0" w:color="auto"/>
              <w:left w:val="nil"/>
              <w:bottom w:val="single" w:sz="4" w:space="0" w:color="000000"/>
              <w:right w:val="nil"/>
            </w:tcBorders>
            <w:vAlign w:val="center"/>
            <w:hideMark/>
          </w:tcPr>
          <w:p w:rsidR="009E5126" w:rsidRPr="009E5126" w:rsidRDefault="009E5126" w:rsidP="009E5126">
            <w:pPr>
              <w:spacing w:after="0" w:line="240" w:lineRule="auto"/>
              <w:rPr>
                <w:rFonts w:ascii="Arial Narrow" w:eastAsia="Times New Roman" w:hAnsi="Arial Narrow" w:cs="Calibri"/>
                <w:b/>
                <w:bCs/>
                <w:color w:val="000000"/>
                <w:sz w:val="19"/>
                <w:szCs w:val="19"/>
                <w:lang w:eastAsia="en-AU"/>
              </w:rPr>
            </w:pPr>
          </w:p>
        </w:tc>
        <w:tc>
          <w:tcPr>
            <w:tcW w:w="1843"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Mussels (summer)</w:t>
            </w:r>
          </w:p>
        </w:tc>
        <w:tc>
          <w:tcPr>
            <w:tcW w:w="1701"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Mussels (winter)</w:t>
            </w:r>
          </w:p>
        </w:tc>
        <w:tc>
          <w:tcPr>
            <w:tcW w:w="1843"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Oysters (summer)</w:t>
            </w:r>
          </w:p>
        </w:tc>
        <w:tc>
          <w:tcPr>
            <w:tcW w:w="1701"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Oysters (winter)</w:t>
            </w:r>
          </w:p>
        </w:tc>
        <w:tc>
          <w:tcPr>
            <w:tcW w:w="1842"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Seawater (summer)</w:t>
            </w:r>
          </w:p>
        </w:tc>
        <w:tc>
          <w:tcPr>
            <w:tcW w:w="1843"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b/>
                <w:bCs/>
                <w:color w:val="000000"/>
                <w:sz w:val="19"/>
                <w:szCs w:val="19"/>
                <w:lang w:eastAsia="en-AU"/>
              </w:rPr>
            </w:pPr>
            <w:r w:rsidRPr="009E5126">
              <w:rPr>
                <w:rFonts w:ascii="Arial Narrow" w:eastAsia="Times New Roman" w:hAnsi="Arial Narrow" w:cs="Calibri"/>
                <w:b/>
                <w:bCs/>
                <w:color w:val="000000"/>
                <w:sz w:val="19"/>
                <w:szCs w:val="19"/>
                <w:lang w:eastAsia="en-AU"/>
              </w:rPr>
              <w:t>Seawater (winter)</w:t>
            </w:r>
          </w:p>
        </w:tc>
      </w:tr>
      <w:tr w:rsidR="009E5126" w:rsidRPr="009E5126" w:rsidTr="00AD5B16">
        <w:trPr>
          <w:trHeight w:val="450"/>
        </w:trPr>
        <w:tc>
          <w:tcPr>
            <w:tcW w:w="2977" w:type="dxa"/>
            <w:tcBorders>
              <w:top w:val="nil"/>
              <w:left w:val="nil"/>
              <w:bottom w:val="nil"/>
              <w:right w:val="nil"/>
            </w:tcBorders>
            <w:shd w:val="clear" w:color="auto" w:fill="auto"/>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Tenericutes; Mycoplasmataceae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5.885E-14</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5.6</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80.393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56.989, max 90.718)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36.112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8.063, max 74.185)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64.148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23.744, max 91.952)</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26.794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3.169, max 78.608)</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0.064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0.009, max 0.119)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0.097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0.013, max 0.219)</w:t>
            </w:r>
          </w:p>
        </w:tc>
      </w:tr>
      <w:tr w:rsidR="009E5126" w:rsidRPr="009E5126" w:rsidTr="00AD5B16">
        <w:trPr>
          <w:trHeight w:val="450"/>
        </w:trPr>
        <w:tc>
          <w:tcPr>
            <w:tcW w:w="2977" w:type="dxa"/>
            <w:tcBorders>
              <w:top w:val="nil"/>
              <w:left w:val="nil"/>
              <w:bottom w:val="nil"/>
              <w:right w:val="nil"/>
            </w:tcBorders>
            <w:shd w:val="clear" w:color="auto" w:fill="auto"/>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α-proteobacteria; unclassified SAR11 clade Ia</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1.117E-08</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5.29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0.011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0.041)</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0.187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0.031, max 0.718)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0.090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0.654)</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0.863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15.962)</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36.940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35.795, max 38.789)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40.437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39.460, max 41.358)</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Halieaceae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4.416E-15</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5.03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0.853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0.104, max 3.869)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2.729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0.855, max 8.922)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15.906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2.147, max 44.868)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21.729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2.875, max 70.280)</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0.419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0.306, max 0.563)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0.522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0.361, max 0.607)</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α-proteobacteria; Rhodobacteraceae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1.003E-14</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4.92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1.555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0.3674, max 3.984)</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17.573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5.459, max 33.264)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0.966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0.038, max 3.961)</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9.139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0.527, max 25.871)</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9.955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8.341, max 12.402)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13.051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6.763, max 17.741)</w:t>
            </w:r>
          </w:p>
        </w:tc>
      </w:tr>
      <w:tr w:rsidR="009E5126" w:rsidRPr="009E5126" w:rsidTr="00AD5B16">
        <w:trPr>
          <w:trHeight w:val="450"/>
        </w:trPr>
        <w:tc>
          <w:tcPr>
            <w:tcW w:w="2977" w:type="dxa"/>
            <w:tcBorders>
              <w:top w:val="nil"/>
              <w:left w:val="nil"/>
              <w:bottom w:val="nil"/>
              <w:right w:val="nil"/>
            </w:tcBorders>
            <w:shd w:val="clear" w:color="auto" w:fill="auto"/>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Bacteroidetes; Flavobacteriaceae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6.365E-16</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4.7</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0.744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0.130, max 2.103)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11.596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1.219, max 20.752)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0.216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0.009, max 0.978)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1.145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0.090, max 3.955)</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7.987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7.091, max 8.982)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11.070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10.415, max 12.099)</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Spirochaetes; Spirochaetaceae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6.457E-12</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3.363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0.320, max 14.052)</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0.537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2.938)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6.485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0.417, max 37.876)</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0.669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4.613)</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0.005)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0.005)</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α-proteobacteria; Kiloniellaceae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4.850E-07</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4.45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1.464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0.017, max 8.317)</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0.272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0.055, max 0.475)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1.335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14.738)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5.627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0.086, max 48.963)</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0.002)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0.005)</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Burkholderiaceae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2.626E-14</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4.44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0.106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0.017, max 0.405)</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2.427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0.163, max 14.533)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0.509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0.084, max 3.882)</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5.573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0.192, max 37.924)</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0.009)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0.004, max 0.016)</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Cyanobacteria; Cyanobiaceae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8.921E-03</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4.36</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5.034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1.554, max 14.152)</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3.715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1.612, max 7.984)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5.627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0.080, max 20.157)</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3.482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0.223, max 8.507)</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1.396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1.237, max 1.522)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1.284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1.087, max 1.640)</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Pseudomonadaceae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1.322E-12</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4.32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0.051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0.003, max 0.229)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2.066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0.093, max 26.018)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0.685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0.027, max 4.273)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4.195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0.125, max 22.467)</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0.003, max 0.013)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0.004, max 0.008)</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α-proteobacteria; Rhizobiaceae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1.901E-15</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4.19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0.197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0.031, max 0.454)</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3.074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0.248, max 5.923)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0.115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0.022, max 0.573)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1.863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0.197, max 5.016)</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0.007, max 0.010)</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0.035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0.022, max 0.048)</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Bacteroidetes; Cryomorphaceae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8.280E-13</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4.13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0.191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0.045, max 0.569)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0.564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0.055, max 1.465)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0.037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0.216)</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0.188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1.029)</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6.758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6.056, max 7.752)</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3.614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3.044, max 4.121)</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Actinobacteria; Microbacteriaceae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1.070E-11</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4.11</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0.013)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0.248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1.694)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0.045)</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0.048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1.180)</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2.967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2.614, max 3.201)</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6.397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5.672, max 6.809)</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δ-proteobacteria; Desulfobulbaceae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4.550E-15</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0.104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0.037, max 0.285)</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1.245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0.351, max 3.675)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0.107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0.568)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2.395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0.147, max 7.137)</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0.013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0.009, max 0.018)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0.062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0.042, max 0.073)</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Cyanobacteria; unclassified Sericytochromatia</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3.787E-12</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4.06</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0.152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0.029, max 1.049)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1.162</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0.141, max 7.917)</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0.545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0.152, max 1.899)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2.290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0.102, max 12.470)</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0.002, max 0.005)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0.005, max 0.011)</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unclassified SAR86 clade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1.472E-08</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4.06</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0.010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0.093)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0.054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0.263)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0.062)</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0.084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1.796)</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0.867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0.745, max 1.069)</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2.364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1.766, max 2.8739)</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Pseudohongiellaceae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1.233E-11</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0.215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0.006, max 1.138)</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0.188</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1.124)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0.059)</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0.044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0.620)</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1.776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1.501, max 2.134)</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2.151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1.651, max 2.505)</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Fusobacteriia; Fusobacteriaceae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2.760E-08</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4.03</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2.134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0.182, max 8.864)</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0.735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8.335)</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0.113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0.803)</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0.141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1.486)</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0.007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0.006, max 0.008)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0.030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0.022, max 0.038)</w:t>
            </w:r>
          </w:p>
        </w:tc>
      </w:tr>
      <w:tr w:rsidR="009E5126" w:rsidRPr="009E5126" w:rsidTr="00AD5B16">
        <w:trPr>
          <w:trHeight w:val="450"/>
        </w:trPr>
        <w:tc>
          <w:tcPr>
            <w:tcW w:w="2977"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Methylophilaceae</w:t>
            </w:r>
          </w:p>
        </w:tc>
        <w:tc>
          <w:tcPr>
            <w:tcW w:w="992"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7.296E-10</w:t>
            </w:r>
          </w:p>
        </w:tc>
        <w:tc>
          <w:tcPr>
            <w:tcW w:w="709" w:type="dxa"/>
            <w:tcBorders>
              <w:top w:val="nil"/>
              <w:left w:val="nil"/>
              <w:bottom w:val="nil"/>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3.98</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0.154</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0.037, max 0.355)</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0.059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0.211)</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0.155</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0.002, max 0.700)</w:t>
            </w:r>
          </w:p>
        </w:tc>
        <w:tc>
          <w:tcPr>
            <w:tcW w:w="1701"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0.047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0.667)</w:t>
            </w:r>
          </w:p>
        </w:tc>
        <w:tc>
          <w:tcPr>
            <w:tcW w:w="1842"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1.591</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1.331, max 1.857)</w:t>
            </w:r>
          </w:p>
        </w:tc>
        <w:tc>
          <w:tcPr>
            <w:tcW w:w="1843" w:type="dxa"/>
            <w:tcBorders>
              <w:top w:val="nil"/>
              <w:left w:val="nil"/>
              <w:bottom w:val="nil"/>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2.379</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2.052, max 2.667)</w:t>
            </w:r>
          </w:p>
        </w:tc>
      </w:tr>
      <w:tr w:rsidR="009E5126" w:rsidRPr="009E5126" w:rsidTr="00AD5B16">
        <w:trPr>
          <w:trHeight w:val="450"/>
        </w:trPr>
        <w:tc>
          <w:tcPr>
            <w:tcW w:w="2977"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γ-proteobacteria; Pseudoalteromonadaceae</w:t>
            </w:r>
          </w:p>
        </w:tc>
        <w:tc>
          <w:tcPr>
            <w:tcW w:w="992"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3.357E-03</w:t>
            </w:r>
          </w:p>
        </w:tc>
        <w:tc>
          <w:tcPr>
            <w:tcW w:w="709" w:type="dxa"/>
            <w:tcBorders>
              <w:top w:val="nil"/>
              <w:left w:val="nil"/>
              <w:bottom w:val="single" w:sz="4" w:space="0" w:color="auto"/>
              <w:right w:val="nil"/>
            </w:tcBorders>
            <w:shd w:val="clear" w:color="auto" w:fill="auto"/>
            <w:noWrap/>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3.98</w:t>
            </w:r>
          </w:p>
        </w:tc>
        <w:tc>
          <w:tcPr>
            <w:tcW w:w="1843"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0.033</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0.133)</w:t>
            </w:r>
          </w:p>
        </w:tc>
        <w:tc>
          <w:tcPr>
            <w:tcW w:w="1701"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0.020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0.148)</w:t>
            </w:r>
          </w:p>
        </w:tc>
        <w:tc>
          <w:tcPr>
            <w:tcW w:w="1843"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0.046</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0.228)</w:t>
            </w:r>
          </w:p>
        </w:tc>
        <w:tc>
          <w:tcPr>
            <w:tcW w:w="1701"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0.040</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 max 0.276)</w:t>
            </w:r>
          </w:p>
        </w:tc>
        <w:tc>
          <w:tcPr>
            <w:tcW w:w="1842"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1.997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1.546, max 2.311)</w:t>
            </w:r>
          </w:p>
        </w:tc>
        <w:tc>
          <w:tcPr>
            <w:tcW w:w="1843" w:type="dxa"/>
            <w:tcBorders>
              <w:top w:val="nil"/>
              <w:left w:val="nil"/>
              <w:bottom w:val="single" w:sz="4" w:space="0" w:color="auto"/>
              <w:right w:val="nil"/>
            </w:tcBorders>
            <w:shd w:val="clear" w:color="auto" w:fill="auto"/>
            <w:vAlign w:val="center"/>
            <w:hideMark/>
          </w:tcPr>
          <w:p w:rsidR="009E5126" w:rsidRPr="009E5126" w:rsidRDefault="009E5126" w:rsidP="009E5126">
            <w:pPr>
              <w:spacing w:after="0" w:line="240" w:lineRule="auto"/>
              <w:jc w:val="center"/>
              <w:rPr>
                <w:rFonts w:ascii="Arial Narrow" w:eastAsia="Times New Roman" w:hAnsi="Arial Narrow" w:cs="Calibri"/>
                <w:color w:val="000000"/>
                <w:sz w:val="19"/>
                <w:szCs w:val="19"/>
                <w:lang w:eastAsia="en-AU"/>
              </w:rPr>
            </w:pPr>
            <w:r w:rsidRPr="009E5126">
              <w:rPr>
                <w:rFonts w:ascii="Arial Narrow" w:eastAsia="Times New Roman" w:hAnsi="Arial Narrow" w:cs="Calibri"/>
                <w:color w:val="000000"/>
                <w:sz w:val="19"/>
                <w:szCs w:val="19"/>
                <w:lang w:eastAsia="en-AU"/>
              </w:rPr>
              <w:t>0.457</w:t>
            </w:r>
            <w:r w:rsidRPr="009E5126">
              <w:rPr>
                <w:rFonts w:ascii="Arial Narrow" w:eastAsia="Times New Roman" w:hAnsi="Arial Narrow" w:cs="Calibri"/>
                <w:color w:val="000000"/>
                <w:sz w:val="19"/>
                <w:szCs w:val="19"/>
                <w:lang w:eastAsia="en-AU"/>
              </w:rPr>
              <w:br/>
            </w:r>
            <w:r w:rsidRPr="009E5126">
              <w:rPr>
                <w:rFonts w:ascii="Arial Narrow" w:eastAsia="Times New Roman" w:hAnsi="Arial Narrow" w:cs="Calibri"/>
                <w:color w:val="000000"/>
                <w:sz w:val="16"/>
                <w:szCs w:val="16"/>
                <w:lang w:eastAsia="en-AU"/>
              </w:rPr>
              <w:t>(min 0.114, max 0.792)</w:t>
            </w:r>
          </w:p>
        </w:tc>
      </w:tr>
    </w:tbl>
    <w:p w:rsidR="007515CD" w:rsidRPr="007515CD" w:rsidRDefault="009E5126" w:rsidP="00A455C4">
      <w:pPr>
        <w:spacing w:before="120" w:after="0" w:line="269" w:lineRule="auto"/>
        <w:rPr>
          <w:rFonts w:ascii="Arial" w:hAnsi="Arial" w:cs="Arial"/>
          <w:b/>
          <w:bCs/>
          <w:sz w:val="19"/>
          <w:szCs w:val="19"/>
        </w:rPr>
      </w:pPr>
      <w:r w:rsidRPr="00E04948">
        <w:rPr>
          <w:rFonts w:ascii="Arial" w:hAnsi="Arial" w:cs="Arial"/>
          <w:b/>
          <w:bCs/>
          <w:sz w:val="20"/>
          <w:szCs w:val="20"/>
        </w:rPr>
        <w:t>Supplementary</w:t>
      </w:r>
      <w:r w:rsidR="00E53767">
        <w:rPr>
          <w:rFonts w:ascii="Arial" w:hAnsi="Arial" w:cs="Arial"/>
          <w:b/>
          <w:bCs/>
          <w:sz w:val="20"/>
          <w:szCs w:val="20"/>
        </w:rPr>
        <w:t xml:space="preserve"> Table </w:t>
      </w:r>
      <w:r>
        <w:rPr>
          <w:rFonts w:ascii="Arial" w:hAnsi="Arial" w:cs="Arial"/>
          <w:b/>
          <w:bCs/>
          <w:sz w:val="20"/>
          <w:szCs w:val="20"/>
        </w:rPr>
        <w:t>5</w:t>
      </w:r>
      <w:r w:rsidRPr="00E04948">
        <w:rPr>
          <w:rFonts w:ascii="Arial" w:hAnsi="Arial" w:cs="Arial"/>
          <w:b/>
          <w:bCs/>
          <w:sz w:val="20"/>
          <w:szCs w:val="20"/>
        </w:rPr>
        <w:t xml:space="preserve"> </w:t>
      </w:r>
      <w:r w:rsidRPr="009E5126">
        <w:rPr>
          <w:rFonts w:ascii="Arial" w:hAnsi="Arial" w:cs="Arial"/>
          <w:bCs/>
          <w:sz w:val="20"/>
          <w:szCs w:val="20"/>
        </w:rPr>
        <w:t>List of the top 20 significant differentially abundant families observed from oyster and mussel gut and seawater samples obtained in summer and winter as determined using the Kruskal-Wallis rank test (adjusted p-value [FDR] cut-off = 0.01). The Log LDA Score cut-off value was adjusted to 2.0 and significant taxa are given in descending order from the highest to lowest LDA score. Mean abundances (%) are presented for each, with ranges given in parentheses.</w:t>
      </w:r>
      <w:r w:rsidR="00EE2699" w:rsidRPr="007515CD">
        <w:rPr>
          <w:rFonts w:ascii="Arial" w:hAnsi="Arial" w:cs="Arial"/>
          <w:b/>
          <w:bCs/>
          <w:sz w:val="19"/>
          <w:szCs w:val="19"/>
        </w:rPr>
        <w:t xml:space="preserve"> </w:t>
      </w:r>
    </w:p>
    <w:tbl>
      <w:tblPr>
        <w:tblpPr w:leftFromText="180" w:rightFromText="180" w:vertAnchor="text" w:horzAnchor="margin" w:tblpY="-93"/>
        <w:tblW w:w="15451" w:type="dxa"/>
        <w:tblLook w:val="04A0" w:firstRow="1" w:lastRow="0" w:firstColumn="1" w:lastColumn="0" w:noHBand="0" w:noVBand="1"/>
      </w:tblPr>
      <w:tblGrid>
        <w:gridCol w:w="939"/>
        <w:gridCol w:w="2605"/>
        <w:gridCol w:w="992"/>
        <w:gridCol w:w="610"/>
        <w:gridCol w:w="1701"/>
        <w:gridCol w:w="1701"/>
        <w:gridCol w:w="1842"/>
        <w:gridCol w:w="1701"/>
        <w:gridCol w:w="1659"/>
        <w:gridCol w:w="1701"/>
      </w:tblGrid>
      <w:tr w:rsidR="007515CD" w:rsidRPr="007515CD" w:rsidTr="00CB7221">
        <w:trPr>
          <w:trHeight w:val="250"/>
        </w:trPr>
        <w:tc>
          <w:tcPr>
            <w:tcW w:w="939" w:type="dxa"/>
            <w:vMerge w:val="restart"/>
            <w:tcBorders>
              <w:top w:val="single" w:sz="4" w:space="0" w:color="auto"/>
              <w:left w:val="nil"/>
              <w:bottom w:val="single" w:sz="4" w:space="0" w:color="000000"/>
              <w:right w:val="nil"/>
            </w:tcBorders>
            <w:shd w:val="clear" w:color="auto" w:fill="auto"/>
            <w:vAlign w:val="bottom"/>
            <w:hideMark/>
          </w:tcPr>
          <w:p w:rsidR="007515CD" w:rsidRPr="007515CD" w:rsidRDefault="007515CD" w:rsidP="007515CD">
            <w:pP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lastRenderedPageBreak/>
              <w:t>OTU #</w:t>
            </w:r>
          </w:p>
        </w:tc>
        <w:tc>
          <w:tcPr>
            <w:tcW w:w="2605" w:type="dxa"/>
            <w:vMerge w:val="restart"/>
            <w:tcBorders>
              <w:top w:val="single" w:sz="4" w:space="0" w:color="auto"/>
              <w:left w:val="nil"/>
              <w:bottom w:val="single" w:sz="4" w:space="0" w:color="000000"/>
              <w:right w:val="nil"/>
            </w:tcBorders>
            <w:shd w:val="clear" w:color="auto" w:fill="auto"/>
            <w:noWrap/>
            <w:vAlign w:val="bottom"/>
            <w:hideMark/>
          </w:tcPr>
          <w:p w:rsidR="007515CD" w:rsidRPr="007515CD" w:rsidRDefault="007515CD" w:rsidP="007515CD">
            <w:pPr>
              <w:spacing w:after="0" w:line="240" w:lineRule="auto"/>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Classification</w:t>
            </w:r>
          </w:p>
        </w:tc>
        <w:tc>
          <w:tcPr>
            <w:tcW w:w="992" w:type="dxa"/>
            <w:vMerge w:val="restart"/>
            <w:tcBorders>
              <w:top w:val="single" w:sz="4" w:space="0" w:color="auto"/>
              <w:left w:val="nil"/>
              <w:bottom w:val="single" w:sz="4" w:space="0" w:color="000000"/>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FDR</w:t>
            </w:r>
          </w:p>
        </w:tc>
        <w:tc>
          <w:tcPr>
            <w:tcW w:w="610" w:type="dxa"/>
            <w:vMerge w:val="restart"/>
            <w:tcBorders>
              <w:top w:val="single" w:sz="4" w:space="0" w:color="auto"/>
              <w:left w:val="nil"/>
              <w:bottom w:val="single" w:sz="4" w:space="0" w:color="000000"/>
              <w:right w:val="nil"/>
            </w:tcBorders>
            <w:shd w:val="clear" w:color="auto" w:fill="auto"/>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LDA score</w:t>
            </w:r>
          </w:p>
        </w:tc>
        <w:tc>
          <w:tcPr>
            <w:tcW w:w="10305" w:type="dxa"/>
            <w:gridSpan w:val="6"/>
            <w:tcBorders>
              <w:top w:val="single" w:sz="4" w:space="0" w:color="auto"/>
              <w:left w:val="nil"/>
              <w:bottom w:val="nil"/>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Mean abundance (%)</w:t>
            </w:r>
          </w:p>
        </w:tc>
      </w:tr>
      <w:tr w:rsidR="007515CD" w:rsidRPr="007515CD" w:rsidTr="00CB7221">
        <w:trPr>
          <w:trHeight w:val="240"/>
        </w:trPr>
        <w:tc>
          <w:tcPr>
            <w:tcW w:w="939" w:type="dxa"/>
            <w:vMerge/>
            <w:tcBorders>
              <w:top w:val="single" w:sz="4" w:space="0" w:color="auto"/>
              <w:left w:val="nil"/>
              <w:bottom w:val="single" w:sz="4" w:space="0" w:color="000000"/>
              <w:right w:val="nil"/>
            </w:tcBorders>
            <w:vAlign w:val="center"/>
            <w:hideMark/>
          </w:tcPr>
          <w:p w:rsidR="007515CD" w:rsidRPr="007515CD" w:rsidRDefault="007515CD" w:rsidP="007515CD">
            <w:pPr>
              <w:spacing w:after="0" w:line="240" w:lineRule="auto"/>
              <w:rPr>
                <w:rFonts w:ascii="Arial Narrow" w:eastAsia="Times New Roman" w:hAnsi="Arial Narrow" w:cs="Calibri"/>
                <w:b/>
                <w:bCs/>
                <w:color w:val="000000"/>
                <w:sz w:val="18"/>
                <w:szCs w:val="18"/>
                <w:lang w:eastAsia="en-AU"/>
              </w:rPr>
            </w:pPr>
          </w:p>
        </w:tc>
        <w:tc>
          <w:tcPr>
            <w:tcW w:w="2605" w:type="dxa"/>
            <w:vMerge/>
            <w:tcBorders>
              <w:top w:val="single" w:sz="4" w:space="0" w:color="auto"/>
              <w:left w:val="nil"/>
              <w:bottom w:val="single" w:sz="4" w:space="0" w:color="000000"/>
              <w:right w:val="nil"/>
            </w:tcBorders>
            <w:vAlign w:val="center"/>
            <w:hideMark/>
          </w:tcPr>
          <w:p w:rsidR="007515CD" w:rsidRPr="007515CD" w:rsidRDefault="007515CD" w:rsidP="007515CD">
            <w:pPr>
              <w:spacing w:after="0" w:line="240" w:lineRule="auto"/>
              <w:rPr>
                <w:rFonts w:ascii="Arial Narrow" w:eastAsia="Times New Roman" w:hAnsi="Arial Narrow" w:cs="Calibri"/>
                <w:b/>
                <w:bCs/>
                <w:color w:val="000000"/>
                <w:sz w:val="18"/>
                <w:szCs w:val="18"/>
                <w:lang w:eastAsia="en-AU"/>
              </w:rPr>
            </w:pPr>
          </w:p>
        </w:tc>
        <w:tc>
          <w:tcPr>
            <w:tcW w:w="992" w:type="dxa"/>
            <w:vMerge/>
            <w:tcBorders>
              <w:top w:val="single" w:sz="4" w:space="0" w:color="auto"/>
              <w:left w:val="nil"/>
              <w:bottom w:val="single" w:sz="4" w:space="0" w:color="000000"/>
              <w:right w:val="nil"/>
            </w:tcBorders>
            <w:vAlign w:val="center"/>
            <w:hideMark/>
          </w:tcPr>
          <w:p w:rsidR="007515CD" w:rsidRPr="007515CD" w:rsidRDefault="007515CD" w:rsidP="007515CD">
            <w:pPr>
              <w:spacing w:after="0" w:line="240" w:lineRule="auto"/>
              <w:rPr>
                <w:rFonts w:ascii="Arial Narrow" w:eastAsia="Times New Roman" w:hAnsi="Arial Narrow" w:cs="Calibri"/>
                <w:b/>
                <w:bCs/>
                <w:color w:val="000000"/>
                <w:sz w:val="18"/>
                <w:szCs w:val="18"/>
                <w:lang w:eastAsia="en-AU"/>
              </w:rPr>
            </w:pPr>
          </w:p>
        </w:tc>
        <w:tc>
          <w:tcPr>
            <w:tcW w:w="610" w:type="dxa"/>
            <w:vMerge/>
            <w:tcBorders>
              <w:top w:val="single" w:sz="4" w:space="0" w:color="auto"/>
              <w:left w:val="nil"/>
              <w:bottom w:val="single" w:sz="4" w:space="0" w:color="000000"/>
              <w:right w:val="nil"/>
            </w:tcBorders>
            <w:vAlign w:val="center"/>
            <w:hideMark/>
          </w:tcPr>
          <w:p w:rsidR="007515CD" w:rsidRPr="007515CD" w:rsidRDefault="007515CD" w:rsidP="007515CD">
            <w:pPr>
              <w:spacing w:after="0" w:line="240" w:lineRule="auto"/>
              <w:rPr>
                <w:rFonts w:ascii="Arial Narrow" w:eastAsia="Times New Roman" w:hAnsi="Arial Narrow" w:cs="Calibri"/>
                <w:b/>
                <w:bCs/>
                <w:color w:val="000000"/>
                <w:sz w:val="18"/>
                <w:szCs w:val="18"/>
                <w:lang w:eastAsia="en-AU"/>
              </w:rPr>
            </w:pPr>
          </w:p>
        </w:tc>
        <w:tc>
          <w:tcPr>
            <w:tcW w:w="1701"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Mussels (summer)</w:t>
            </w:r>
          </w:p>
        </w:tc>
        <w:tc>
          <w:tcPr>
            <w:tcW w:w="1701"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Mussels (winter)</w:t>
            </w:r>
          </w:p>
        </w:tc>
        <w:tc>
          <w:tcPr>
            <w:tcW w:w="1842"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Oysters (summer)</w:t>
            </w:r>
          </w:p>
        </w:tc>
        <w:tc>
          <w:tcPr>
            <w:tcW w:w="1701"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Oysters (winter)</w:t>
            </w:r>
          </w:p>
        </w:tc>
        <w:tc>
          <w:tcPr>
            <w:tcW w:w="1659"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Seawater (summer)</w:t>
            </w:r>
          </w:p>
        </w:tc>
        <w:tc>
          <w:tcPr>
            <w:tcW w:w="1701" w:type="dxa"/>
            <w:tcBorders>
              <w:top w:val="nil"/>
              <w:left w:val="nil"/>
              <w:bottom w:val="single" w:sz="4" w:space="0" w:color="auto"/>
              <w:right w:val="nil"/>
            </w:tcBorders>
            <w:shd w:val="clear" w:color="auto" w:fill="auto"/>
            <w:noWrap/>
            <w:vAlign w:val="bottom"/>
            <w:hideMark/>
          </w:tcPr>
          <w:p w:rsidR="007515CD" w:rsidRPr="007515CD" w:rsidRDefault="007515CD" w:rsidP="007515CD">
            <w:pPr>
              <w:spacing w:after="0" w:line="240" w:lineRule="auto"/>
              <w:jc w:val="center"/>
              <w:rPr>
                <w:rFonts w:ascii="Arial Narrow" w:eastAsia="Times New Roman" w:hAnsi="Arial Narrow" w:cs="Calibri"/>
                <w:b/>
                <w:bCs/>
                <w:color w:val="000000"/>
                <w:sz w:val="18"/>
                <w:szCs w:val="18"/>
                <w:lang w:eastAsia="en-AU"/>
              </w:rPr>
            </w:pPr>
            <w:r w:rsidRPr="007515CD">
              <w:rPr>
                <w:rFonts w:ascii="Arial Narrow" w:eastAsia="Times New Roman" w:hAnsi="Arial Narrow" w:cs="Calibri"/>
                <w:b/>
                <w:bCs/>
                <w:color w:val="000000"/>
                <w:sz w:val="18"/>
                <w:szCs w:val="18"/>
                <w:lang w:eastAsia="en-AU"/>
              </w:rPr>
              <w:t>Seawater (winter)</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OTU_7</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6.218E-13</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5.34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44.247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1.993, max 79.023)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0.642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14.171)</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0.434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2.221)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0.102)</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0.003, max 0.016)</w:t>
            </w:r>
          </w:p>
        </w:tc>
      </w:tr>
      <w:tr w:rsidR="007515CD" w:rsidRPr="007515CD" w:rsidTr="00CB7221">
        <w:trPr>
          <w:trHeight w:val="46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OTU_8</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α-proteobacteria; unclassified SAR11 clade Ia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1.053E-08</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5.29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0.183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0.031, max 0.699)</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0.089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0.649)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0.850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15.665)</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36.434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35.379, max 38.311)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39.404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38.4430, max 40.321)</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OTU_6</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2.459E-15</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5.08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0.025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0.309)</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24.001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0.273, max 64.104)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0.572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3.061)</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0.010)</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0.010)</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Halieaceae; Halioglobus</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2.370E-15</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4.97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0.036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0.460)</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15.510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2.041, max 44.221)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18.806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1.321, max 68.388)</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0.010)</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OTU_4</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8.564E-16</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0.182)</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0.044)</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15.782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0.134, max 39.711)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2.631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18.730)</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0.003)</w:t>
            </w:r>
          </w:p>
        </w:tc>
      </w:tr>
      <w:tr w:rsidR="007515CD" w:rsidRPr="007515CD" w:rsidTr="00CB7221">
        <w:trPr>
          <w:trHeight w:val="46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OTU_11</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Candidatus Bacilloplasma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8.564E-16</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4.87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8.335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1.380, max 17.905)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14.718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0.459, max 42.417)</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0.026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0.180)</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0.088)</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0.037)</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OTU_14</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uncultured Mycoplasmataceae</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1.143E-14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4.74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4.181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0.018, max 19.482)</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11.024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0.177, max 44.534)</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0.084)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0.024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0.305)</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0.055)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0.013)</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OTU_2</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uncultured Mycoplasmataceae</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1.414E-12</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4.74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0.039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0.272)</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0.178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3.366)</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3.860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0.01684, max 43.384)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10.965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48.367)</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0.002, max 0.023)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0.009)</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OTU_17</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uncultured Mycoplasmataceae</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1.198E-14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4.71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10.146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1.414, max 36.830)</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0.608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9.169)</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0.098)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0.014)</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0.002, max 0.008)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0.023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0.070)</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OTU_19</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8.869E-16</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4.56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7.198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1.380, max 17.905)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5.880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0.229, max 18.690)</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0.024)</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0.002, max 0.005)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0.043)</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OTU_13</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2.200E-13</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4.49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0.021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0.117)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0.031)</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6.149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0.021, max 16.718)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1.876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10.187)</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0.002, max 0.003)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w:t>
            </w:r>
          </w:p>
        </w:tc>
      </w:tr>
      <w:tr w:rsidR="007515CD" w:rsidRPr="007515CD" w:rsidTr="00CB7221">
        <w:trPr>
          <w:trHeight w:val="46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OTU_63</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unclassified Rhodobacteraceae HIMB11</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3.533E-04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4.46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0.052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0.003, max 0.255)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0.061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0.008, max 0.167)</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0.035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0.103)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0.082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0.319)</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5.840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4.436, max 8.359)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0.305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0.230, max 0.368)</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OTU_65</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Rhodobacteraceae; Planktomarina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2.857E-10</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0.010)</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0.069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0.269)</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0.045)</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0.070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0.882)</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0.003, max 0.009)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5.010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2.682, max 7.128)</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OTU_43</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Rhodobacteraceae; Planktomarina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9.145E-14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4.34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0.046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0.008, max 0.116)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1.583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0.266, max 3.946)</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0.107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0.074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0.749)</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0.004, max 0.013)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4.379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1.424, max 6.109)</w:t>
            </w:r>
          </w:p>
        </w:tc>
      </w:tr>
      <w:tr w:rsidR="007515CD" w:rsidRPr="007515CD" w:rsidTr="00CB7221">
        <w:trPr>
          <w:trHeight w:val="46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OTU_44</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unclassified Flavobacteriaceae NS5 marine group</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1.684E-10</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4.3</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0.035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0.331)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0.173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0.674)</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0.152, max 1.899)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0.048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0.900)</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0.838</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0.584, max 1.246)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3.956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3.527, max 4.528)</w:t>
            </w:r>
          </w:p>
        </w:tc>
      </w:tr>
      <w:tr w:rsidR="007515CD" w:rsidRPr="007515CD" w:rsidTr="00CB7221">
        <w:trPr>
          <w:trHeight w:val="46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OTU_16</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Pseudomonadaceae; Pseudomonas</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1.838E-12</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4.28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0.043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0.003, max 0.179)</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1.893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0.073, max 25.183)</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0.007</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3.845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0.125, max 20.173)</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0.003, max 0.010)</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0.006</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0.004, max 0.008)</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OTU_51</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7.308E-14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4.27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3.771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0.151, max 15.604)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1.403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14.170)</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0.071)</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0.104)</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0.013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0.004</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0.011)</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OTU_22</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Kiloniellaceae; Kiloniella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1.353E-11</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4.27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0.016)</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12.784)</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3.721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31.335)</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0.002)</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w:t>
            </w:r>
          </w:p>
        </w:tc>
      </w:tr>
      <w:tr w:rsidR="007515CD" w:rsidRPr="007515CD" w:rsidTr="00CB7221">
        <w:trPr>
          <w:trHeight w:val="440"/>
        </w:trPr>
        <w:tc>
          <w:tcPr>
            <w:tcW w:w="939"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OTU_1474</w:t>
            </w:r>
          </w:p>
        </w:tc>
        <w:tc>
          <w:tcPr>
            <w:tcW w:w="2605" w:type="dxa"/>
            <w:tcBorders>
              <w:top w:val="nil"/>
              <w:left w:val="nil"/>
              <w:bottom w:val="nil"/>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Mycoplasmataceae; Mycoplasma</w:t>
            </w:r>
          </w:p>
        </w:tc>
        <w:tc>
          <w:tcPr>
            <w:tcW w:w="992"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1.691E-14</w:t>
            </w:r>
          </w:p>
        </w:tc>
        <w:tc>
          <w:tcPr>
            <w:tcW w:w="610" w:type="dxa"/>
            <w:tcBorders>
              <w:top w:val="nil"/>
              <w:left w:val="nil"/>
              <w:bottom w:val="nil"/>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4.26</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0.009</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0.047)</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0.003</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0.017)</w:t>
            </w:r>
          </w:p>
        </w:tc>
        <w:tc>
          <w:tcPr>
            <w:tcW w:w="1842"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1.782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0.005, max 8.658)</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3.660</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30.868)</w:t>
            </w:r>
          </w:p>
        </w:tc>
        <w:tc>
          <w:tcPr>
            <w:tcW w:w="1659"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w:t>
            </w:r>
          </w:p>
        </w:tc>
        <w:tc>
          <w:tcPr>
            <w:tcW w:w="1701" w:type="dxa"/>
            <w:tcBorders>
              <w:top w:val="nil"/>
              <w:left w:val="nil"/>
              <w:bottom w:val="nil"/>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w:t>
            </w:r>
          </w:p>
        </w:tc>
      </w:tr>
      <w:tr w:rsidR="007515CD" w:rsidRPr="007515CD" w:rsidTr="00CB7221">
        <w:trPr>
          <w:trHeight w:val="440"/>
        </w:trPr>
        <w:tc>
          <w:tcPr>
            <w:tcW w:w="939" w:type="dxa"/>
            <w:tcBorders>
              <w:top w:val="nil"/>
              <w:left w:val="nil"/>
              <w:bottom w:val="single" w:sz="4" w:space="0" w:color="auto"/>
              <w:right w:val="nil"/>
            </w:tcBorders>
            <w:shd w:val="clear" w:color="auto" w:fill="auto"/>
            <w:noWrap/>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OTU_28</w:t>
            </w:r>
          </w:p>
        </w:tc>
        <w:tc>
          <w:tcPr>
            <w:tcW w:w="2605"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Spirochaetaceae; Spirochaeta 2</w:t>
            </w:r>
          </w:p>
        </w:tc>
        <w:tc>
          <w:tcPr>
            <w:tcW w:w="992" w:type="dxa"/>
            <w:tcBorders>
              <w:top w:val="nil"/>
              <w:left w:val="nil"/>
              <w:bottom w:val="single" w:sz="4" w:space="0" w:color="auto"/>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8.086E-16</w:t>
            </w:r>
          </w:p>
        </w:tc>
        <w:tc>
          <w:tcPr>
            <w:tcW w:w="610" w:type="dxa"/>
            <w:tcBorders>
              <w:top w:val="nil"/>
              <w:left w:val="nil"/>
              <w:bottom w:val="single" w:sz="4" w:space="0" w:color="auto"/>
              <w:right w:val="nil"/>
            </w:tcBorders>
            <w:shd w:val="clear" w:color="auto" w:fill="auto"/>
            <w:noWrap/>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4.23</w:t>
            </w:r>
          </w:p>
        </w:tc>
        <w:tc>
          <w:tcPr>
            <w:tcW w:w="1701"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3.361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0.320, max 14.052)</w:t>
            </w:r>
          </w:p>
        </w:tc>
        <w:tc>
          <w:tcPr>
            <w:tcW w:w="1701"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0.535</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2.938)</w:t>
            </w:r>
          </w:p>
        </w:tc>
        <w:tc>
          <w:tcPr>
            <w:tcW w:w="1842"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0.033)</w:t>
            </w:r>
          </w:p>
        </w:tc>
        <w:tc>
          <w:tcPr>
            <w:tcW w:w="1701"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0.021)</w:t>
            </w:r>
          </w:p>
        </w:tc>
        <w:tc>
          <w:tcPr>
            <w:tcW w:w="1659"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0.001</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0.002)</w:t>
            </w:r>
          </w:p>
        </w:tc>
        <w:tc>
          <w:tcPr>
            <w:tcW w:w="1701" w:type="dxa"/>
            <w:tcBorders>
              <w:top w:val="nil"/>
              <w:left w:val="nil"/>
              <w:bottom w:val="single" w:sz="4" w:space="0" w:color="auto"/>
              <w:right w:val="nil"/>
            </w:tcBorders>
            <w:shd w:val="clear" w:color="auto" w:fill="auto"/>
            <w:vAlign w:val="center"/>
            <w:hideMark/>
          </w:tcPr>
          <w:p w:rsidR="007515CD" w:rsidRPr="007515CD" w:rsidRDefault="007515CD" w:rsidP="007515CD">
            <w:pPr>
              <w:spacing w:after="0" w:line="240" w:lineRule="auto"/>
              <w:jc w:val="center"/>
              <w:rPr>
                <w:rFonts w:ascii="Arial Narrow" w:eastAsia="Times New Roman" w:hAnsi="Arial Narrow" w:cs="Calibri"/>
                <w:color w:val="000000"/>
                <w:sz w:val="18"/>
                <w:szCs w:val="18"/>
                <w:lang w:eastAsia="en-AU"/>
              </w:rPr>
            </w:pPr>
            <w:r w:rsidRPr="007515CD">
              <w:rPr>
                <w:rFonts w:ascii="Arial Narrow" w:eastAsia="Times New Roman" w:hAnsi="Arial Narrow" w:cs="Calibri"/>
                <w:color w:val="000000"/>
                <w:sz w:val="18"/>
                <w:szCs w:val="18"/>
                <w:lang w:eastAsia="en-AU"/>
              </w:rPr>
              <w:t>0.002</w:t>
            </w:r>
            <w:r w:rsidRPr="007515CD">
              <w:rPr>
                <w:rFonts w:ascii="Arial Narrow" w:eastAsia="Times New Roman" w:hAnsi="Arial Narrow" w:cs="Calibri"/>
                <w:color w:val="000000"/>
                <w:sz w:val="18"/>
                <w:szCs w:val="18"/>
                <w:lang w:eastAsia="en-AU"/>
              </w:rPr>
              <w:br/>
            </w:r>
            <w:r w:rsidRPr="007515CD">
              <w:rPr>
                <w:rFonts w:ascii="Arial Narrow" w:eastAsia="Times New Roman" w:hAnsi="Arial Narrow" w:cs="Calibri"/>
                <w:color w:val="000000"/>
                <w:sz w:val="16"/>
                <w:szCs w:val="16"/>
                <w:lang w:eastAsia="en-AU"/>
              </w:rPr>
              <w:t>(min 0, max 0.005)</w:t>
            </w:r>
          </w:p>
        </w:tc>
      </w:tr>
    </w:tbl>
    <w:p w:rsidR="007515CD" w:rsidRPr="007515CD" w:rsidRDefault="00E53767" w:rsidP="00EE2699">
      <w:pPr>
        <w:spacing w:before="120" w:after="0" w:line="240" w:lineRule="auto"/>
        <w:rPr>
          <w:rFonts w:ascii="Arial" w:hAnsi="Arial" w:cs="Arial"/>
          <w:b/>
          <w:bCs/>
          <w:sz w:val="20"/>
          <w:szCs w:val="20"/>
        </w:rPr>
      </w:pPr>
      <w:r>
        <w:rPr>
          <w:rFonts w:ascii="Arial" w:hAnsi="Arial" w:cs="Arial"/>
          <w:b/>
          <w:bCs/>
          <w:sz w:val="20"/>
          <w:szCs w:val="20"/>
        </w:rPr>
        <w:t>Supplementary Table 6</w:t>
      </w:r>
      <w:r w:rsidR="007515CD" w:rsidRPr="007515CD">
        <w:rPr>
          <w:rFonts w:ascii="Arial" w:hAnsi="Arial" w:cs="Arial"/>
          <w:b/>
          <w:bCs/>
          <w:sz w:val="20"/>
          <w:szCs w:val="20"/>
        </w:rPr>
        <w:t xml:space="preserve"> </w:t>
      </w:r>
      <w:r w:rsidR="007515CD" w:rsidRPr="007515CD">
        <w:rPr>
          <w:rFonts w:ascii="Arial" w:hAnsi="Arial" w:cs="Arial"/>
          <w:bCs/>
          <w:sz w:val="20"/>
          <w:szCs w:val="20"/>
        </w:rPr>
        <w:t>List of the top 20 significant differentially abundant OTUs observed from oyster and mussel gut and seawater samples obtained in summer and winter as determined using the Kruskal-Wallis rank test (adjusted p-value [FDR] cut-off = 0.01). The Log LDA Score cut-off value was adjusted to 2.0 and significant taxa are given in descending order from the highest to lowest LDA score. Mean abundances (%) are presented for each, with ranges given in parentheses.</w:t>
      </w:r>
    </w:p>
    <w:sectPr w:rsidR="007515CD" w:rsidRPr="007515CD" w:rsidSect="00E04948">
      <w:pgSz w:w="16838" w:h="11906"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23261" w:rsidRDefault="00D23261" w:rsidP="00E53767">
      <w:pPr>
        <w:spacing w:after="0" w:line="240" w:lineRule="auto"/>
      </w:pPr>
      <w:r>
        <w:separator/>
      </w:r>
    </w:p>
  </w:endnote>
  <w:endnote w:type="continuationSeparator" w:id="0">
    <w:p w:rsidR="00D23261" w:rsidRDefault="00D23261" w:rsidP="00E5376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10002FF" w:usb1="4000ACFF" w:usb2="00000009" w:usb3="00000000" w:csb0="0000019F" w:csb1="00000000"/>
    <w:embedRegular r:id="rId1" w:fontKey="{467BA8D9-C1F1-4717-B6FA-F833EA66BC73}"/>
    <w:embedBold r:id="rId2" w:fontKey="{250952E3-E898-4104-9F3F-368B584A0BC5}"/>
    <w:embedItalic r:id="rId3" w:fontKey="{01D65EB8-0409-4123-A6CE-B9F043C12DA5}"/>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embedRegular r:id="rId4" w:fontKey="{4BFC59E4-5585-4563-9843-02FA77D63C57}"/>
    <w:embedBold r:id="rId5" w:fontKey="{986CCD1F-7BB0-448C-91A4-42666867D05C}"/>
  </w:font>
  <w:font w:name="Calibri Light">
    <w:panose1 w:val="020F0302020204030204"/>
    <w:charset w:val="00"/>
    <w:family w:val="swiss"/>
    <w:pitch w:val="variable"/>
    <w:sig w:usb0="A00002EF" w:usb1="4000207B" w:usb2="00000000" w:usb3="00000000" w:csb0="0000009F" w:csb1="00000000"/>
    <w:embedRegular r:id="rId6" w:fontKey="{0C2E3E33-1CC8-4817-A4B2-60119FB5C8AB}"/>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23261" w:rsidRDefault="00D23261" w:rsidP="00E53767">
      <w:pPr>
        <w:spacing w:after="0" w:line="240" w:lineRule="auto"/>
      </w:pPr>
      <w:r>
        <w:separator/>
      </w:r>
    </w:p>
  </w:footnote>
  <w:footnote w:type="continuationSeparator" w:id="0">
    <w:p w:rsidR="00D23261" w:rsidRDefault="00D23261" w:rsidP="00E53767">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5666"/>
    <w:rsid w:val="00011C63"/>
    <w:rsid w:val="000C3027"/>
    <w:rsid w:val="000F4A7F"/>
    <w:rsid w:val="001457C8"/>
    <w:rsid w:val="00167D0F"/>
    <w:rsid w:val="001C377E"/>
    <w:rsid w:val="001E556C"/>
    <w:rsid w:val="00286F99"/>
    <w:rsid w:val="002D78ED"/>
    <w:rsid w:val="00425666"/>
    <w:rsid w:val="0044179D"/>
    <w:rsid w:val="0045452D"/>
    <w:rsid w:val="00647DC8"/>
    <w:rsid w:val="006E2E75"/>
    <w:rsid w:val="00704B25"/>
    <w:rsid w:val="007515CD"/>
    <w:rsid w:val="00762FC2"/>
    <w:rsid w:val="00774138"/>
    <w:rsid w:val="007A56E2"/>
    <w:rsid w:val="008927E0"/>
    <w:rsid w:val="008B0CB1"/>
    <w:rsid w:val="00904421"/>
    <w:rsid w:val="00922FEC"/>
    <w:rsid w:val="00964750"/>
    <w:rsid w:val="009E5126"/>
    <w:rsid w:val="00A455C4"/>
    <w:rsid w:val="00AD5B16"/>
    <w:rsid w:val="00B963A0"/>
    <w:rsid w:val="00C075D0"/>
    <w:rsid w:val="00CB7221"/>
    <w:rsid w:val="00D23261"/>
    <w:rsid w:val="00DB7AD4"/>
    <w:rsid w:val="00E04948"/>
    <w:rsid w:val="00E12C35"/>
    <w:rsid w:val="00E42E33"/>
    <w:rsid w:val="00E43B0F"/>
    <w:rsid w:val="00E53767"/>
    <w:rsid w:val="00E555C5"/>
    <w:rsid w:val="00E70498"/>
    <w:rsid w:val="00EE2699"/>
    <w:rsid w:val="00F03F08"/>
    <w:rsid w:val="00F22B1B"/>
    <w:rsid w:val="00F5656D"/>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0E0588"/>
  <w15:chartTrackingRefBased/>
  <w15:docId w15:val="{1EE2E623-A512-43C9-AA1F-7032140E0A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25666"/>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53767"/>
    <w:rPr>
      <w:color w:val="0000FF"/>
      <w:u w:val="single"/>
    </w:rPr>
  </w:style>
  <w:style w:type="character" w:customStyle="1" w:styleId="st">
    <w:name w:val="st"/>
    <w:basedOn w:val="DefaultParagraphFont"/>
    <w:rsid w:val="00E53767"/>
  </w:style>
  <w:style w:type="paragraph" w:customStyle="1" w:styleId="AuthorList">
    <w:name w:val="Author List"/>
    <w:aliases w:val="Keywords,Abstract"/>
    <w:basedOn w:val="Subtitle"/>
    <w:next w:val="Normal"/>
    <w:uiPriority w:val="1"/>
    <w:qFormat/>
    <w:rsid w:val="00E53767"/>
    <w:pPr>
      <w:numPr>
        <w:ilvl w:val="0"/>
      </w:numPr>
      <w:spacing w:before="240" w:after="240" w:line="240" w:lineRule="auto"/>
    </w:pPr>
    <w:rPr>
      <w:rFonts w:ascii="Times New Roman" w:eastAsiaTheme="minorHAnsi" w:hAnsi="Times New Roman" w:cs="Times New Roman"/>
      <w:b/>
      <w:color w:val="auto"/>
      <w:spacing w:val="0"/>
      <w:sz w:val="24"/>
      <w:szCs w:val="24"/>
    </w:rPr>
  </w:style>
  <w:style w:type="paragraph" w:styleId="FootnoteText">
    <w:name w:val="footnote text"/>
    <w:basedOn w:val="Normal"/>
    <w:link w:val="FootnoteTextChar"/>
    <w:uiPriority w:val="99"/>
    <w:semiHidden/>
    <w:unhideWhenUsed/>
    <w:rsid w:val="00E53767"/>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53767"/>
    <w:rPr>
      <w:sz w:val="20"/>
      <w:szCs w:val="20"/>
    </w:rPr>
  </w:style>
  <w:style w:type="character" w:styleId="FootnoteReference">
    <w:name w:val="footnote reference"/>
    <w:basedOn w:val="DefaultParagraphFont"/>
    <w:uiPriority w:val="99"/>
    <w:semiHidden/>
    <w:unhideWhenUsed/>
    <w:rsid w:val="00E53767"/>
    <w:rPr>
      <w:vertAlign w:val="superscript"/>
    </w:rPr>
  </w:style>
  <w:style w:type="paragraph" w:styleId="Subtitle">
    <w:name w:val="Subtitle"/>
    <w:basedOn w:val="Normal"/>
    <w:next w:val="Normal"/>
    <w:link w:val="SubtitleChar"/>
    <w:uiPriority w:val="11"/>
    <w:qFormat/>
    <w:rsid w:val="00E53767"/>
    <w:pPr>
      <w:numPr>
        <w:ilvl w:val="1"/>
      </w:numPr>
      <w:spacing w:after="160"/>
    </w:pPr>
    <w:rPr>
      <w:rFonts w:eastAsiaTheme="minorEastAsia"/>
      <w:color w:val="5A5A5A" w:themeColor="text1" w:themeTint="A5"/>
      <w:spacing w:val="15"/>
    </w:rPr>
  </w:style>
  <w:style w:type="character" w:customStyle="1" w:styleId="SubtitleChar">
    <w:name w:val="Subtitle Char"/>
    <w:basedOn w:val="DefaultParagraphFont"/>
    <w:link w:val="Subtitle"/>
    <w:uiPriority w:val="11"/>
    <w:rsid w:val="00E53767"/>
    <w:rPr>
      <w:rFonts w:eastAsiaTheme="minorEastAsia"/>
      <w:color w:val="5A5A5A" w:themeColor="text1" w:themeTint="A5"/>
      <w:spacing w:val="15"/>
    </w:rPr>
  </w:style>
  <w:style w:type="paragraph" w:styleId="Header">
    <w:name w:val="header"/>
    <w:basedOn w:val="Normal"/>
    <w:link w:val="HeaderChar"/>
    <w:uiPriority w:val="99"/>
    <w:unhideWhenUsed/>
    <w:rsid w:val="008B0CB1"/>
    <w:pPr>
      <w:tabs>
        <w:tab w:val="center" w:pos="4513"/>
        <w:tab w:val="right" w:pos="9026"/>
      </w:tabs>
      <w:spacing w:after="0" w:line="240" w:lineRule="auto"/>
    </w:pPr>
  </w:style>
  <w:style w:type="character" w:customStyle="1" w:styleId="HeaderChar">
    <w:name w:val="Header Char"/>
    <w:basedOn w:val="DefaultParagraphFont"/>
    <w:link w:val="Header"/>
    <w:uiPriority w:val="99"/>
    <w:rsid w:val="008B0CB1"/>
  </w:style>
  <w:style w:type="paragraph" w:styleId="Footer">
    <w:name w:val="footer"/>
    <w:basedOn w:val="Normal"/>
    <w:link w:val="FooterChar"/>
    <w:uiPriority w:val="99"/>
    <w:unhideWhenUsed/>
    <w:rsid w:val="008B0CB1"/>
    <w:pPr>
      <w:tabs>
        <w:tab w:val="center" w:pos="4513"/>
        <w:tab w:val="right" w:pos="9026"/>
      </w:tabs>
      <w:spacing w:after="0" w:line="240" w:lineRule="auto"/>
    </w:pPr>
  </w:style>
  <w:style w:type="character" w:customStyle="1" w:styleId="FooterChar">
    <w:name w:val="Footer Char"/>
    <w:basedOn w:val="DefaultParagraphFont"/>
    <w:link w:val="Footer"/>
    <w:uiPriority w:val="99"/>
    <w:rsid w:val="008B0C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5721830">
      <w:bodyDiv w:val="1"/>
      <w:marLeft w:val="0"/>
      <w:marRight w:val="0"/>
      <w:marTop w:val="0"/>
      <w:marBottom w:val="0"/>
      <w:divBdr>
        <w:top w:val="none" w:sz="0" w:space="0" w:color="auto"/>
        <w:left w:val="none" w:sz="0" w:space="0" w:color="auto"/>
        <w:bottom w:val="none" w:sz="0" w:space="0" w:color="auto"/>
        <w:right w:val="none" w:sz="0" w:space="0" w:color="auto"/>
      </w:divBdr>
    </w:div>
    <w:div w:id="29771302">
      <w:bodyDiv w:val="1"/>
      <w:marLeft w:val="0"/>
      <w:marRight w:val="0"/>
      <w:marTop w:val="0"/>
      <w:marBottom w:val="0"/>
      <w:divBdr>
        <w:top w:val="none" w:sz="0" w:space="0" w:color="auto"/>
        <w:left w:val="none" w:sz="0" w:space="0" w:color="auto"/>
        <w:bottom w:val="none" w:sz="0" w:space="0" w:color="auto"/>
        <w:right w:val="none" w:sz="0" w:space="0" w:color="auto"/>
      </w:divBdr>
    </w:div>
    <w:div w:id="47339286">
      <w:bodyDiv w:val="1"/>
      <w:marLeft w:val="0"/>
      <w:marRight w:val="0"/>
      <w:marTop w:val="0"/>
      <w:marBottom w:val="0"/>
      <w:divBdr>
        <w:top w:val="none" w:sz="0" w:space="0" w:color="auto"/>
        <w:left w:val="none" w:sz="0" w:space="0" w:color="auto"/>
        <w:bottom w:val="none" w:sz="0" w:space="0" w:color="auto"/>
        <w:right w:val="none" w:sz="0" w:space="0" w:color="auto"/>
      </w:divBdr>
    </w:div>
    <w:div w:id="63114646">
      <w:bodyDiv w:val="1"/>
      <w:marLeft w:val="0"/>
      <w:marRight w:val="0"/>
      <w:marTop w:val="0"/>
      <w:marBottom w:val="0"/>
      <w:divBdr>
        <w:top w:val="none" w:sz="0" w:space="0" w:color="auto"/>
        <w:left w:val="none" w:sz="0" w:space="0" w:color="auto"/>
        <w:bottom w:val="none" w:sz="0" w:space="0" w:color="auto"/>
        <w:right w:val="none" w:sz="0" w:space="0" w:color="auto"/>
      </w:divBdr>
    </w:div>
    <w:div w:id="104204022">
      <w:bodyDiv w:val="1"/>
      <w:marLeft w:val="0"/>
      <w:marRight w:val="0"/>
      <w:marTop w:val="0"/>
      <w:marBottom w:val="0"/>
      <w:divBdr>
        <w:top w:val="none" w:sz="0" w:space="0" w:color="auto"/>
        <w:left w:val="none" w:sz="0" w:space="0" w:color="auto"/>
        <w:bottom w:val="none" w:sz="0" w:space="0" w:color="auto"/>
        <w:right w:val="none" w:sz="0" w:space="0" w:color="auto"/>
      </w:divBdr>
    </w:div>
    <w:div w:id="131288097">
      <w:bodyDiv w:val="1"/>
      <w:marLeft w:val="0"/>
      <w:marRight w:val="0"/>
      <w:marTop w:val="0"/>
      <w:marBottom w:val="0"/>
      <w:divBdr>
        <w:top w:val="none" w:sz="0" w:space="0" w:color="auto"/>
        <w:left w:val="none" w:sz="0" w:space="0" w:color="auto"/>
        <w:bottom w:val="none" w:sz="0" w:space="0" w:color="auto"/>
        <w:right w:val="none" w:sz="0" w:space="0" w:color="auto"/>
      </w:divBdr>
    </w:div>
    <w:div w:id="144055995">
      <w:bodyDiv w:val="1"/>
      <w:marLeft w:val="0"/>
      <w:marRight w:val="0"/>
      <w:marTop w:val="0"/>
      <w:marBottom w:val="0"/>
      <w:divBdr>
        <w:top w:val="none" w:sz="0" w:space="0" w:color="auto"/>
        <w:left w:val="none" w:sz="0" w:space="0" w:color="auto"/>
        <w:bottom w:val="none" w:sz="0" w:space="0" w:color="auto"/>
        <w:right w:val="none" w:sz="0" w:space="0" w:color="auto"/>
      </w:divBdr>
    </w:div>
    <w:div w:id="170216603">
      <w:bodyDiv w:val="1"/>
      <w:marLeft w:val="0"/>
      <w:marRight w:val="0"/>
      <w:marTop w:val="0"/>
      <w:marBottom w:val="0"/>
      <w:divBdr>
        <w:top w:val="none" w:sz="0" w:space="0" w:color="auto"/>
        <w:left w:val="none" w:sz="0" w:space="0" w:color="auto"/>
        <w:bottom w:val="none" w:sz="0" w:space="0" w:color="auto"/>
        <w:right w:val="none" w:sz="0" w:space="0" w:color="auto"/>
      </w:divBdr>
    </w:div>
    <w:div w:id="187917990">
      <w:bodyDiv w:val="1"/>
      <w:marLeft w:val="0"/>
      <w:marRight w:val="0"/>
      <w:marTop w:val="0"/>
      <w:marBottom w:val="0"/>
      <w:divBdr>
        <w:top w:val="none" w:sz="0" w:space="0" w:color="auto"/>
        <w:left w:val="none" w:sz="0" w:space="0" w:color="auto"/>
        <w:bottom w:val="none" w:sz="0" w:space="0" w:color="auto"/>
        <w:right w:val="none" w:sz="0" w:space="0" w:color="auto"/>
      </w:divBdr>
    </w:div>
    <w:div w:id="229002979">
      <w:bodyDiv w:val="1"/>
      <w:marLeft w:val="0"/>
      <w:marRight w:val="0"/>
      <w:marTop w:val="0"/>
      <w:marBottom w:val="0"/>
      <w:divBdr>
        <w:top w:val="none" w:sz="0" w:space="0" w:color="auto"/>
        <w:left w:val="none" w:sz="0" w:space="0" w:color="auto"/>
        <w:bottom w:val="none" w:sz="0" w:space="0" w:color="auto"/>
        <w:right w:val="none" w:sz="0" w:space="0" w:color="auto"/>
      </w:divBdr>
    </w:div>
    <w:div w:id="262955970">
      <w:bodyDiv w:val="1"/>
      <w:marLeft w:val="0"/>
      <w:marRight w:val="0"/>
      <w:marTop w:val="0"/>
      <w:marBottom w:val="0"/>
      <w:divBdr>
        <w:top w:val="none" w:sz="0" w:space="0" w:color="auto"/>
        <w:left w:val="none" w:sz="0" w:space="0" w:color="auto"/>
        <w:bottom w:val="none" w:sz="0" w:space="0" w:color="auto"/>
        <w:right w:val="none" w:sz="0" w:space="0" w:color="auto"/>
      </w:divBdr>
    </w:div>
    <w:div w:id="268898641">
      <w:bodyDiv w:val="1"/>
      <w:marLeft w:val="0"/>
      <w:marRight w:val="0"/>
      <w:marTop w:val="0"/>
      <w:marBottom w:val="0"/>
      <w:divBdr>
        <w:top w:val="none" w:sz="0" w:space="0" w:color="auto"/>
        <w:left w:val="none" w:sz="0" w:space="0" w:color="auto"/>
        <w:bottom w:val="none" w:sz="0" w:space="0" w:color="auto"/>
        <w:right w:val="none" w:sz="0" w:space="0" w:color="auto"/>
      </w:divBdr>
    </w:div>
    <w:div w:id="279382789">
      <w:bodyDiv w:val="1"/>
      <w:marLeft w:val="0"/>
      <w:marRight w:val="0"/>
      <w:marTop w:val="0"/>
      <w:marBottom w:val="0"/>
      <w:divBdr>
        <w:top w:val="none" w:sz="0" w:space="0" w:color="auto"/>
        <w:left w:val="none" w:sz="0" w:space="0" w:color="auto"/>
        <w:bottom w:val="none" w:sz="0" w:space="0" w:color="auto"/>
        <w:right w:val="none" w:sz="0" w:space="0" w:color="auto"/>
      </w:divBdr>
    </w:div>
    <w:div w:id="320156481">
      <w:bodyDiv w:val="1"/>
      <w:marLeft w:val="0"/>
      <w:marRight w:val="0"/>
      <w:marTop w:val="0"/>
      <w:marBottom w:val="0"/>
      <w:divBdr>
        <w:top w:val="none" w:sz="0" w:space="0" w:color="auto"/>
        <w:left w:val="none" w:sz="0" w:space="0" w:color="auto"/>
        <w:bottom w:val="none" w:sz="0" w:space="0" w:color="auto"/>
        <w:right w:val="none" w:sz="0" w:space="0" w:color="auto"/>
      </w:divBdr>
    </w:div>
    <w:div w:id="326329995">
      <w:bodyDiv w:val="1"/>
      <w:marLeft w:val="0"/>
      <w:marRight w:val="0"/>
      <w:marTop w:val="0"/>
      <w:marBottom w:val="0"/>
      <w:divBdr>
        <w:top w:val="none" w:sz="0" w:space="0" w:color="auto"/>
        <w:left w:val="none" w:sz="0" w:space="0" w:color="auto"/>
        <w:bottom w:val="none" w:sz="0" w:space="0" w:color="auto"/>
        <w:right w:val="none" w:sz="0" w:space="0" w:color="auto"/>
      </w:divBdr>
    </w:div>
    <w:div w:id="331110833">
      <w:bodyDiv w:val="1"/>
      <w:marLeft w:val="0"/>
      <w:marRight w:val="0"/>
      <w:marTop w:val="0"/>
      <w:marBottom w:val="0"/>
      <w:divBdr>
        <w:top w:val="none" w:sz="0" w:space="0" w:color="auto"/>
        <w:left w:val="none" w:sz="0" w:space="0" w:color="auto"/>
        <w:bottom w:val="none" w:sz="0" w:space="0" w:color="auto"/>
        <w:right w:val="none" w:sz="0" w:space="0" w:color="auto"/>
      </w:divBdr>
    </w:div>
    <w:div w:id="353114513">
      <w:bodyDiv w:val="1"/>
      <w:marLeft w:val="0"/>
      <w:marRight w:val="0"/>
      <w:marTop w:val="0"/>
      <w:marBottom w:val="0"/>
      <w:divBdr>
        <w:top w:val="none" w:sz="0" w:space="0" w:color="auto"/>
        <w:left w:val="none" w:sz="0" w:space="0" w:color="auto"/>
        <w:bottom w:val="none" w:sz="0" w:space="0" w:color="auto"/>
        <w:right w:val="none" w:sz="0" w:space="0" w:color="auto"/>
      </w:divBdr>
    </w:div>
    <w:div w:id="359474539">
      <w:bodyDiv w:val="1"/>
      <w:marLeft w:val="0"/>
      <w:marRight w:val="0"/>
      <w:marTop w:val="0"/>
      <w:marBottom w:val="0"/>
      <w:divBdr>
        <w:top w:val="none" w:sz="0" w:space="0" w:color="auto"/>
        <w:left w:val="none" w:sz="0" w:space="0" w:color="auto"/>
        <w:bottom w:val="none" w:sz="0" w:space="0" w:color="auto"/>
        <w:right w:val="none" w:sz="0" w:space="0" w:color="auto"/>
      </w:divBdr>
    </w:div>
    <w:div w:id="381448754">
      <w:bodyDiv w:val="1"/>
      <w:marLeft w:val="0"/>
      <w:marRight w:val="0"/>
      <w:marTop w:val="0"/>
      <w:marBottom w:val="0"/>
      <w:divBdr>
        <w:top w:val="none" w:sz="0" w:space="0" w:color="auto"/>
        <w:left w:val="none" w:sz="0" w:space="0" w:color="auto"/>
        <w:bottom w:val="none" w:sz="0" w:space="0" w:color="auto"/>
        <w:right w:val="none" w:sz="0" w:space="0" w:color="auto"/>
      </w:divBdr>
    </w:div>
    <w:div w:id="390740429">
      <w:bodyDiv w:val="1"/>
      <w:marLeft w:val="0"/>
      <w:marRight w:val="0"/>
      <w:marTop w:val="0"/>
      <w:marBottom w:val="0"/>
      <w:divBdr>
        <w:top w:val="none" w:sz="0" w:space="0" w:color="auto"/>
        <w:left w:val="none" w:sz="0" w:space="0" w:color="auto"/>
        <w:bottom w:val="none" w:sz="0" w:space="0" w:color="auto"/>
        <w:right w:val="none" w:sz="0" w:space="0" w:color="auto"/>
      </w:divBdr>
    </w:div>
    <w:div w:id="406848058">
      <w:bodyDiv w:val="1"/>
      <w:marLeft w:val="0"/>
      <w:marRight w:val="0"/>
      <w:marTop w:val="0"/>
      <w:marBottom w:val="0"/>
      <w:divBdr>
        <w:top w:val="none" w:sz="0" w:space="0" w:color="auto"/>
        <w:left w:val="none" w:sz="0" w:space="0" w:color="auto"/>
        <w:bottom w:val="none" w:sz="0" w:space="0" w:color="auto"/>
        <w:right w:val="none" w:sz="0" w:space="0" w:color="auto"/>
      </w:divBdr>
    </w:div>
    <w:div w:id="412630217">
      <w:bodyDiv w:val="1"/>
      <w:marLeft w:val="0"/>
      <w:marRight w:val="0"/>
      <w:marTop w:val="0"/>
      <w:marBottom w:val="0"/>
      <w:divBdr>
        <w:top w:val="none" w:sz="0" w:space="0" w:color="auto"/>
        <w:left w:val="none" w:sz="0" w:space="0" w:color="auto"/>
        <w:bottom w:val="none" w:sz="0" w:space="0" w:color="auto"/>
        <w:right w:val="none" w:sz="0" w:space="0" w:color="auto"/>
      </w:divBdr>
    </w:div>
    <w:div w:id="413278695">
      <w:bodyDiv w:val="1"/>
      <w:marLeft w:val="0"/>
      <w:marRight w:val="0"/>
      <w:marTop w:val="0"/>
      <w:marBottom w:val="0"/>
      <w:divBdr>
        <w:top w:val="none" w:sz="0" w:space="0" w:color="auto"/>
        <w:left w:val="none" w:sz="0" w:space="0" w:color="auto"/>
        <w:bottom w:val="none" w:sz="0" w:space="0" w:color="auto"/>
        <w:right w:val="none" w:sz="0" w:space="0" w:color="auto"/>
      </w:divBdr>
    </w:div>
    <w:div w:id="445004309">
      <w:bodyDiv w:val="1"/>
      <w:marLeft w:val="0"/>
      <w:marRight w:val="0"/>
      <w:marTop w:val="0"/>
      <w:marBottom w:val="0"/>
      <w:divBdr>
        <w:top w:val="none" w:sz="0" w:space="0" w:color="auto"/>
        <w:left w:val="none" w:sz="0" w:space="0" w:color="auto"/>
        <w:bottom w:val="none" w:sz="0" w:space="0" w:color="auto"/>
        <w:right w:val="none" w:sz="0" w:space="0" w:color="auto"/>
      </w:divBdr>
    </w:div>
    <w:div w:id="445391671">
      <w:bodyDiv w:val="1"/>
      <w:marLeft w:val="0"/>
      <w:marRight w:val="0"/>
      <w:marTop w:val="0"/>
      <w:marBottom w:val="0"/>
      <w:divBdr>
        <w:top w:val="none" w:sz="0" w:space="0" w:color="auto"/>
        <w:left w:val="none" w:sz="0" w:space="0" w:color="auto"/>
        <w:bottom w:val="none" w:sz="0" w:space="0" w:color="auto"/>
        <w:right w:val="none" w:sz="0" w:space="0" w:color="auto"/>
      </w:divBdr>
    </w:div>
    <w:div w:id="448743245">
      <w:bodyDiv w:val="1"/>
      <w:marLeft w:val="0"/>
      <w:marRight w:val="0"/>
      <w:marTop w:val="0"/>
      <w:marBottom w:val="0"/>
      <w:divBdr>
        <w:top w:val="none" w:sz="0" w:space="0" w:color="auto"/>
        <w:left w:val="none" w:sz="0" w:space="0" w:color="auto"/>
        <w:bottom w:val="none" w:sz="0" w:space="0" w:color="auto"/>
        <w:right w:val="none" w:sz="0" w:space="0" w:color="auto"/>
      </w:divBdr>
    </w:div>
    <w:div w:id="457845551">
      <w:bodyDiv w:val="1"/>
      <w:marLeft w:val="0"/>
      <w:marRight w:val="0"/>
      <w:marTop w:val="0"/>
      <w:marBottom w:val="0"/>
      <w:divBdr>
        <w:top w:val="none" w:sz="0" w:space="0" w:color="auto"/>
        <w:left w:val="none" w:sz="0" w:space="0" w:color="auto"/>
        <w:bottom w:val="none" w:sz="0" w:space="0" w:color="auto"/>
        <w:right w:val="none" w:sz="0" w:space="0" w:color="auto"/>
      </w:divBdr>
    </w:div>
    <w:div w:id="461382912">
      <w:bodyDiv w:val="1"/>
      <w:marLeft w:val="0"/>
      <w:marRight w:val="0"/>
      <w:marTop w:val="0"/>
      <w:marBottom w:val="0"/>
      <w:divBdr>
        <w:top w:val="none" w:sz="0" w:space="0" w:color="auto"/>
        <w:left w:val="none" w:sz="0" w:space="0" w:color="auto"/>
        <w:bottom w:val="none" w:sz="0" w:space="0" w:color="auto"/>
        <w:right w:val="none" w:sz="0" w:space="0" w:color="auto"/>
      </w:divBdr>
    </w:div>
    <w:div w:id="464586217">
      <w:bodyDiv w:val="1"/>
      <w:marLeft w:val="0"/>
      <w:marRight w:val="0"/>
      <w:marTop w:val="0"/>
      <w:marBottom w:val="0"/>
      <w:divBdr>
        <w:top w:val="none" w:sz="0" w:space="0" w:color="auto"/>
        <w:left w:val="none" w:sz="0" w:space="0" w:color="auto"/>
        <w:bottom w:val="none" w:sz="0" w:space="0" w:color="auto"/>
        <w:right w:val="none" w:sz="0" w:space="0" w:color="auto"/>
      </w:divBdr>
    </w:div>
    <w:div w:id="476646974">
      <w:bodyDiv w:val="1"/>
      <w:marLeft w:val="0"/>
      <w:marRight w:val="0"/>
      <w:marTop w:val="0"/>
      <w:marBottom w:val="0"/>
      <w:divBdr>
        <w:top w:val="none" w:sz="0" w:space="0" w:color="auto"/>
        <w:left w:val="none" w:sz="0" w:space="0" w:color="auto"/>
        <w:bottom w:val="none" w:sz="0" w:space="0" w:color="auto"/>
        <w:right w:val="none" w:sz="0" w:space="0" w:color="auto"/>
      </w:divBdr>
    </w:div>
    <w:div w:id="484202450">
      <w:bodyDiv w:val="1"/>
      <w:marLeft w:val="0"/>
      <w:marRight w:val="0"/>
      <w:marTop w:val="0"/>
      <w:marBottom w:val="0"/>
      <w:divBdr>
        <w:top w:val="none" w:sz="0" w:space="0" w:color="auto"/>
        <w:left w:val="none" w:sz="0" w:space="0" w:color="auto"/>
        <w:bottom w:val="none" w:sz="0" w:space="0" w:color="auto"/>
        <w:right w:val="none" w:sz="0" w:space="0" w:color="auto"/>
      </w:divBdr>
    </w:div>
    <w:div w:id="492725536">
      <w:bodyDiv w:val="1"/>
      <w:marLeft w:val="0"/>
      <w:marRight w:val="0"/>
      <w:marTop w:val="0"/>
      <w:marBottom w:val="0"/>
      <w:divBdr>
        <w:top w:val="none" w:sz="0" w:space="0" w:color="auto"/>
        <w:left w:val="none" w:sz="0" w:space="0" w:color="auto"/>
        <w:bottom w:val="none" w:sz="0" w:space="0" w:color="auto"/>
        <w:right w:val="none" w:sz="0" w:space="0" w:color="auto"/>
      </w:divBdr>
    </w:div>
    <w:div w:id="515193105">
      <w:bodyDiv w:val="1"/>
      <w:marLeft w:val="0"/>
      <w:marRight w:val="0"/>
      <w:marTop w:val="0"/>
      <w:marBottom w:val="0"/>
      <w:divBdr>
        <w:top w:val="none" w:sz="0" w:space="0" w:color="auto"/>
        <w:left w:val="none" w:sz="0" w:space="0" w:color="auto"/>
        <w:bottom w:val="none" w:sz="0" w:space="0" w:color="auto"/>
        <w:right w:val="none" w:sz="0" w:space="0" w:color="auto"/>
      </w:divBdr>
    </w:div>
    <w:div w:id="545607732">
      <w:bodyDiv w:val="1"/>
      <w:marLeft w:val="0"/>
      <w:marRight w:val="0"/>
      <w:marTop w:val="0"/>
      <w:marBottom w:val="0"/>
      <w:divBdr>
        <w:top w:val="none" w:sz="0" w:space="0" w:color="auto"/>
        <w:left w:val="none" w:sz="0" w:space="0" w:color="auto"/>
        <w:bottom w:val="none" w:sz="0" w:space="0" w:color="auto"/>
        <w:right w:val="none" w:sz="0" w:space="0" w:color="auto"/>
      </w:divBdr>
    </w:div>
    <w:div w:id="563414492">
      <w:bodyDiv w:val="1"/>
      <w:marLeft w:val="0"/>
      <w:marRight w:val="0"/>
      <w:marTop w:val="0"/>
      <w:marBottom w:val="0"/>
      <w:divBdr>
        <w:top w:val="none" w:sz="0" w:space="0" w:color="auto"/>
        <w:left w:val="none" w:sz="0" w:space="0" w:color="auto"/>
        <w:bottom w:val="none" w:sz="0" w:space="0" w:color="auto"/>
        <w:right w:val="none" w:sz="0" w:space="0" w:color="auto"/>
      </w:divBdr>
    </w:div>
    <w:div w:id="564023623">
      <w:bodyDiv w:val="1"/>
      <w:marLeft w:val="0"/>
      <w:marRight w:val="0"/>
      <w:marTop w:val="0"/>
      <w:marBottom w:val="0"/>
      <w:divBdr>
        <w:top w:val="none" w:sz="0" w:space="0" w:color="auto"/>
        <w:left w:val="none" w:sz="0" w:space="0" w:color="auto"/>
        <w:bottom w:val="none" w:sz="0" w:space="0" w:color="auto"/>
        <w:right w:val="none" w:sz="0" w:space="0" w:color="auto"/>
      </w:divBdr>
    </w:div>
    <w:div w:id="596475410">
      <w:bodyDiv w:val="1"/>
      <w:marLeft w:val="0"/>
      <w:marRight w:val="0"/>
      <w:marTop w:val="0"/>
      <w:marBottom w:val="0"/>
      <w:divBdr>
        <w:top w:val="none" w:sz="0" w:space="0" w:color="auto"/>
        <w:left w:val="none" w:sz="0" w:space="0" w:color="auto"/>
        <w:bottom w:val="none" w:sz="0" w:space="0" w:color="auto"/>
        <w:right w:val="none" w:sz="0" w:space="0" w:color="auto"/>
      </w:divBdr>
    </w:div>
    <w:div w:id="634290107">
      <w:bodyDiv w:val="1"/>
      <w:marLeft w:val="0"/>
      <w:marRight w:val="0"/>
      <w:marTop w:val="0"/>
      <w:marBottom w:val="0"/>
      <w:divBdr>
        <w:top w:val="none" w:sz="0" w:space="0" w:color="auto"/>
        <w:left w:val="none" w:sz="0" w:space="0" w:color="auto"/>
        <w:bottom w:val="none" w:sz="0" w:space="0" w:color="auto"/>
        <w:right w:val="none" w:sz="0" w:space="0" w:color="auto"/>
      </w:divBdr>
    </w:div>
    <w:div w:id="658266629">
      <w:bodyDiv w:val="1"/>
      <w:marLeft w:val="0"/>
      <w:marRight w:val="0"/>
      <w:marTop w:val="0"/>
      <w:marBottom w:val="0"/>
      <w:divBdr>
        <w:top w:val="none" w:sz="0" w:space="0" w:color="auto"/>
        <w:left w:val="none" w:sz="0" w:space="0" w:color="auto"/>
        <w:bottom w:val="none" w:sz="0" w:space="0" w:color="auto"/>
        <w:right w:val="none" w:sz="0" w:space="0" w:color="auto"/>
      </w:divBdr>
    </w:div>
    <w:div w:id="660885298">
      <w:bodyDiv w:val="1"/>
      <w:marLeft w:val="0"/>
      <w:marRight w:val="0"/>
      <w:marTop w:val="0"/>
      <w:marBottom w:val="0"/>
      <w:divBdr>
        <w:top w:val="none" w:sz="0" w:space="0" w:color="auto"/>
        <w:left w:val="none" w:sz="0" w:space="0" w:color="auto"/>
        <w:bottom w:val="none" w:sz="0" w:space="0" w:color="auto"/>
        <w:right w:val="none" w:sz="0" w:space="0" w:color="auto"/>
      </w:divBdr>
    </w:div>
    <w:div w:id="667831591">
      <w:bodyDiv w:val="1"/>
      <w:marLeft w:val="0"/>
      <w:marRight w:val="0"/>
      <w:marTop w:val="0"/>
      <w:marBottom w:val="0"/>
      <w:divBdr>
        <w:top w:val="none" w:sz="0" w:space="0" w:color="auto"/>
        <w:left w:val="none" w:sz="0" w:space="0" w:color="auto"/>
        <w:bottom w:val="none" w:sz="0" w:space="0" w:color="auto"/>
        <w:right w:val="none" w:sz="0" w:space="0" w:color="auto"/>
      </w:divBdr>
    </w:div>
    <w:div w:id="682443312">
      <w:bodyDiv w:val="1"/>
      <w:marLeft w:val="0"/>
      <w:marRight w:val="0"/>
      <w:marTop w:val="0"/>
      <w:marBottom w:val="0"/>
      <w:divBdr>
        <w:top w:val="none" w:sz="0" w:space="0" w:color="auto"/>
        <w:left w:val="none" w:sz="0" w:space="0" w:color="auto"/>
        <w:bottom w:val="none" w:sz="0" w:space="0" w:color="auto"/>
        <w:right w:val="none" w:sz="0" w:space="0" w:color="auto"/>
      </w:divBdr>
    </w:div>
    <w:div w:id="686449225">
      <w:bodyDiv w:val="1"/>
      <w:marLeft w:val="0"/>
      <w:marRight w:val="0"/>
      <w:marTop w:val="0"/>
      <w:marBottom w:val="0"/>
      <w:divBdr>
        <w:top w:val="none" w:sz="0" w:space="0" w:color="auto"/>
        <w:left w:val="none" w:sz="0" w:space="0" w:color="auto"/>
        <w:bottom w:val="none" w:sz="0" w:space="0" w:color="auto"/>
        <w:right w:val="none" w:sz="0" w:space="0" w:color="auto"/>
      </w:divBdr>
    </w:div>
    <w:div w:id="706837398">
      <w:bodyDiv w:val="1"/>
      <w:marLeft w:val="0"/>
      <w:marRight w:val="0"/>
      <w:marTop w:val="0"/>
      <w:marBottom w:val="0"/>
      <w:divBdr>
        <w:top w:val="none" w:sz="0" w:space="0" w:color="auto"/>
        <w:left w:val="none" w:sz="0" w:space="0" w:color="auto"/>
        <w:bottom w:val="none" w:sz="0" w:space="0" w:color="auto"/>
        <w:right w:val="none" w:sz="0" w:space="0" w:color="auto"/>
      </w:divBdr>
    </w:div>
    <w:div w:id="723600447">
      <w:bodyDiv w:val="1"/>
      <w:marLeft w:val="0"/>
      <w:marRight w:val="0"/>
      <w:marTop w:val="0"/>
      <w:marBottom w:val="0"/>
      <w:divBdr>
        <w:top w:val="none" w:sz="0" w:space="0" w:color="auto"/>
        <w:left w:val="none" w:sz="0" w:space="0" w:color="auto"/>
        <w:bottom w:val="none" w:sz="0" w:space="0" w:color="auto"/>
        <w:right w:val="none" w:sz="0" w:space="0" w:color="auto"/>
      </w:divBdr>
    </w:div>
    <w:div w:id="733042410">
      <w:bodyDiv w:val="1"/>
      <w:marLeft w:val="0"/>
      <w:marRight w:val="0"/>
      <w:marTop w:val="0"/>
      <w:marBottom w:val="0"/>
      <w:divBdr>
        <w:top w:val="none" w:sz="0" w:space="0" w:color="auto"/>
        <w:left w:val="none" w:sz="0" w:space="0" w:color="auto"/>
        <w:bottom w:val="none" w:sz="0" w:space="0" w:color="auto"/>
        <w:right w:val="none" w:sz="0" w:space="0" w:color="auto"/>
      </w:divBdr>
    </w:div>
    <w:div w:id="746612349">
      <w:bodyDiv w:val="1"/>
      <w:marLeft w:val="0"/>
      <w:marRight w:val="0"/>
      <w:marTop w:val="0"/>
      <w:marBottom w:val="0"/>
      <w:divBdr>
        <w:top w:val="none" w:sz="0" w:space="0" w:color="auto"/>
        <w:left w:val="none" w:sz="0" w:space="0" w:color="auto"/>
        <w:bottom w:val="none" w:sz="0" w:space="0" w:color="auto"/>
        <w:right w:val="none" w:sz="0" w:space="0" w:color="auto"/>
      </w:divBdr>
    </w:div>
    <w:div w:id="762921774">
      <w:bodyDiv w:val="1"/>
      <w:marLeft w:val="0"/>
      <w:marRight w:val="0"/>
      <w:marTop w:val="0"/>
      <w:marBottom w:val="0"/>
      <w:divBdr>
        <w:top w:val="none" w:sz="0" w:space="0" w:color="auto"/>
        <w:left w:val="none" w:sz="0" w:space="0" w:color="auto"/>
        <w:bottom w:val="none" w:sz="0" w:space="0" w:color="auto"/>
        <w:right w:val="none" w:sz="0" w:space="0" w:color="auto"/>
      </w:divBdr>
    </w:div>
    <w:div w:id="777025649">
      <w:bodyDiv w:val="1"/>
      <w:marLeft w:val="0"/>
      <w:marRight w:val="0"/>
      <w:marTop w:val="0"/>
      <w:marBottom w:val="0"/>
      <w:divBdr>
        <w:top w:val="none" w:sz="0" w:space="0" w:color="auto"/>
        <w:left w:val="none" w:sz="0" w:space="0" w:color="auto"/>
        <w:bottom w:val="none" w:sz="0" w:space="0" w:color="auto"/>
        <w:right w:val="none" w:sz="0" w:space="0" w:color="auto"/>
      </w:divBdr>
    </w:div>
    <w:div w:id="777598316">
      <w:bodyDiv w:val="1"/>
      <w:marLeft w:val="0"/>
      <w:marRight w:val="0"/>
      <w:marTop w:val="0"/>
      <w:marBottom w:val="0"/>
      <w:divBdr>
        <w:top w:val="none" w:sz="0" w:space="0" w:color="auto"/>
        <w:left w:val="none" w:sz="0" w:space="0" w:color="auto"/>
        <w:bottom w:val="none" w:sz="0" w:space="0" w:color="auto"/>
        <w:right w:val="none" w:sz="0" w:space="0" w:color="auto"/>
      </w:divBdr>
    </w:div>
    <w:div w:id="813252431">
      <w:bodyDiv w:val="1"/>
      <w:marLeft w:val="0"/>
      <w:marRight w:val="0"/>
      <w:marTop w:val="0"/>
      <w:marBottom w:val="0"/>
      <w:divBdr>
        <w:top w:val="none" w:sz="0" w:space="0" w:color="auto"/>
        <w:left w:val="none" w:sz="0" w:space="0" w:color="auto"/>
        <w:bottom w:val="none" w:sz="0" w:space="0" w:color="auto"/>
        <w:right w:val="none" w:sz="0" w:space="0" w:color="auto"/>
      </w:divBdr>
    </w:div>
    <w:div w:id="817453874">
      <w:bodyDiv w:val="1"/>
      <w:marLeft w:val="0"/>
      <w:marRight w:val="0"/>
      <w:marTop w:val="0"/>
      <w:marBottom w:val="0"/>
      <w:divBdr>
        <w:top w:val="none" w:sz="0" w:space="0" w:color="auto"/>
        <w:left w:val="none" w:sz="0" w:space="0" w:color="auto"/>
        <w:bottom w:val="none" w:sz="0" w:space="0" w:color="auto"/>
        <w:right w:val="none" w:sz="0" w:space="0" w:color="auto"/>
      </w:divBdr>
    </w:div>
    <w:div w:id="870607009">
      <w:bodyDiv w:val="1"/>
      <w:marLeft w:val="0"/>
      <w:marRight w:val="0"/>
      <w:marTop w:val="0"/>
      <w:marBottom w:val="0"/>
      <w:divBdr>
        <w:top w:val="none" w:sz="0" w:space="0" w:color="auto"/>
        <w:left w:val="none" w:sz="0" w:space="0" w:color="auto"/>
        <w:bottom w:val="none" w:sz="0" w:space="0" w:color="auto"/>
        <w:right w:val="none" w:sz="0" w:space="0" w:color="auto"/>
      </w:divBdr>
    </w:div>
    <w:div w:id="882130997">
      <w:bodyDiv w:val="1"/>
      <w:marLeft w:val="0"/>
      <w:marRight w:val="0"/>
      <w:marTop w:val="0"/>
      <w:marBottom w:val="0"/>
      <w:divBdr>
        <w:top w:val="none" w:sz="0" w:space="0" w:color="auto"/>
        <w:left w:val="none" w:sz="0" w:space="0" w:color="auto"/>
        <w:bottom w:val="none" w:sz="0" w:space="0" w:color="auto"/>
        <w:right w:val="none" w:sz="0" w:space="0" w:color="auto"/>
      </w:divBdr>
    </w:div>
    <w:div w:id="884025194">
      <w:bodyDiv w:val="1"/>
      <w:marLeft w:val="0"/>
      <w:marRight w:val="0"/>
      <w:marTop w:val="0"/>
      <w:marBottom w:val="0"/>
      <w:divBdr>
        <w:top w:val="none" w:sz="0" w:space="0" w:color="auto"/>
        <w:left w:val="none" w:sz="0" w:space="0" w:color="auto"/>
        <w:bottom w:val="none" w:sz="0" w:space="0" w:color="auto"/>
        <w:right w:val="none" w:sz="0" w:space="0" w:color="auto"/>
      </w:divBdr>
    </w:div>
    <w:div w:id="906455094">
      <w:bodyDiv w:val="1"/>
      <w:marLeft w:val="0"/>
      <w:marRight w:val="0"/>
      <w:marTop w:val="0"/>
      <w:marBottom w:val="0"/>
      <w:divBdr>
        <w:top w:val="none" w:sz="0" w:space="0" w:color="auto"/>
        <w:left w:val="none" w:sz="0" w:space="0" w:color="auto"/>
        <w:bottom w:val="none" w:sz="0" w:space="0" w:color="auto"/>
        <w:right w:val="none" w:sz="0" w:space="0" w:color="auto"/>
      </w:divBdr>
    </w:div>
    <w:div w:id="922111029">
      <w:bodyDiv w:val="1"/>
      <w:marLeft w:val="0"/>
      <w:marRight w:val="0"/>
      <w:marTop w:val="0"/>
      <w:marBottom w:val="0"/>
      <w:divBdr>
        <w:top w:val="none" w:sz="0" w:space="0" w:color="auto"/>
        <w:left w:val="none" w:sz="0" w:space="0" w:color="auto"/>
        <w:bottom w:val="none" w:sz="0" w:space="0" w:color="auto"/>
        <w:right w:val="none" w:sz="0" w:space="0" w:color="auto"/>
      </w:divBdr>
    </w:div>
    <w:div w:id="933707889">
      <w:bodyDiv w:val="1"/>
      <w:marLeft w:val="0"/>
      <w:marRight w:val="0"/>
      <w:marTop w:val="0"/>
      <w:marBottom w:val="0"/>
      <w:divBdr>
        <w:top w:val="none" w:sz="0" w:space="0" w:color="auto"/>
        <w:left w:val="none" w:sz="0" w:space="0" w:color="auto"/>
        <w:bottom w:val="none" w:sz="0" w:space="0" w:color="auto"/>
        <w:right w:val="none" w:sz="0" w:space="0" w:color="auto"/>
      </w:divBdr>
    </w:div>
    <w:div w:id="934435818">
      <w:bodyDiv w:val="1"/>
      <w:marLeft w:val="0"/>
      <w:marRight w:val="0"/>
      <w:marTop w:val="0"/>
      <w:marBottom w:val="0"/>
      <w:divBdr>
        <w:top w:val="none" w:sz="0" w:space="0" w:color="auto"/>
        <w:left w:val="none" w:sz="0" w:space="0" w:color="auto"/>
        <w:bottom w:val="none" w:sz="0" w:space="0" w:color="auto"/>
        <w:right w:val="none" w:sz="0" w:space="0" w:color="auto"/>
      </w:divBdr>
    </w:div>
    <w:div w:id="946430482">
      <w:bodyDiv w:val="1"/>
      <w:marLeft w:val="0"/>
      <w:marRight w:val="0"/>
      <w:marTop w:val="0"/>
      <w:marBottom w:val="0"/>
      <w:divBdr>
        <w:top w:val="none" w:sz="0" w:space="0" w:color="auto"/>
        <w:left w:val="none" w:sz="0" w:space="0" w:color="auto"/>
        <w:bottom w:val="none" w:sz="0" w:space="0" w:color="auto"/>
        <w:right w:val="none" w:sz="0" w:space="0" w:color="auto"/>
      </w:divBdr>
    </w:div>
    <w:div w:id="950207846">
      <w:bodyDiv w:val="1"/>
      <w:marLeft w:val="0"/>
      <w:marRight w:val="0"/>
      <w:marTop w:val="0"/>
      <w:marBottom w:val="0"/>
      <w:divBdr>
        <w:top w:val="none" w:sz="0" w:space="0" w:color="auto"/>
        <w:left w:val="none" w:sz="0" w:space="0" w:color="auto"/>
        <w:bottom w:val="none" w:sz="0" w:space="0" w:color="auto"/>
        <w:right w:val="none" w:sz="0" w:space="0" w:color="auto"/>
      </w:divBdr>
    </w:div>
    <w:div w:id="953750163">
      <w:bodyDiv w:val="1"/>
      <w:marLeft w:val="0"/>
      <w:marRight w:val="0"/>
      <w:marTop w:val="0"/>
      <w:marBottom w:val="0"/>
      <w:divBdr>
        <w:top w:val="none" w:sz="0" w:space="0" w:color="auto"/>
        <w:left w:val="none" w:sz="0" w:space="0" w:color="auto"/>
        <w:bottom w:val="none" w:sz="0" w:space="0" w:color="auto"/>
        <w:right w:val="none" w:sz="0" w:space="0" w:color="auto"/>
      </w:divBdr>
    </w:div>
    <w:div w:id="957295760">
      <w:bodyDiv w:val="1"/>
      <w:marLeft w:val="0"/>
      <w:marRight w:val="0"/>
      <w:marTop w:val="0"/>
      <w:marBottom w:val="0"/>
      <w:divBdr>
        <w:top w:val="none" w:sz="0" w:space="0" w:color="auto"/>
        <w:left w:val="none" w:sz="0" w:space="0" w:color="auto"/>
        <w:bottom w:val="none" w:sz="0" w:space="0" w:color="auto"/>
        <w:right w:val="none" w:sz="0" w:space="0" w:color="auto"/>
      </w:divBdr>
    </w:div>
    <w:div w:id="963390677">
      <w:bodyDiv w:val="1"/>
      <w:marLeft w:val="0"/>
      <w:marRight w:val="0"/>
      <w:marTop w:val="0"/>
      <w:marBottom w:val="0"/>
      <w:divBdr>
        <w:top w:val="none" w:sz="0" w:space="0" w:color="auto"/>
        <w:left w:val="none" w:sz="0" w:space="0" w:color="auto"/>
        <w:bottom w:val="none" w:sz="0" w:space="0" w:color="auto"/>
        <w:right w:val="none" w:sz="0" w:space="0" w:color="auto"/>
      </w:divBdr>
    </w:div>
    <w:div w:id="972828704">
      <w:bodyDiv w:val="1"/>
      <w:marLeft w:val="0"/>
      <w:marRight w:val="0"/>
      <w:marTop w:val="0"/>
      <w:marBottom w:val="0"/>
      <w:divBdr>
        <w:top w:val="none" w:sz="0" w:space="0" w:color="auto"/>
        <w:left w:val="none" w:sz="0" w:space="0" w:color="auto"/>
        <w:bottom w:val="none" w:sz="0" w:space="0" w:color="auto"/>
        <w:right w:val="none" w:sz="0" w:space="0" w:color="auto"/>
      </w:divBdr>
    </w:div>
    <w:div w:id="986592754">
      <w:bodyDiv w:val="1"/>
      <w:marLeft w:val="0"/>
      <w:marRight w:val="0"/>
      <w:marTop w:val="0"/>
      <w:marBottom w:val="0"/>
      <w:divBdr>
        <w:top w:val="none" w:sz="0" w:space="0" w:color="auto"/>
        <w:left w:val="none" w:sz="0" w:space="0" w:color="auto"/>
        <w:bottom w:val="none" w:sz="0" w:space="0" w:color="auto"/>
        <w:right w:val="none" w:sz="0" w:space="0" w:color="auto"/>
      </w:divBdr>
    </w:div>
    <w:div w:id="1025139198">
      <w:bodyDiv w:val="1"/>
      <w:marLeft w:val="0"/>
      <w:marRight w:val="0"/>
      <w:marTop w:val="0"/>
      <w:marBottom w:val="0"/>
      <w:divBdr>
        <w:top w:val="none" w:sz="0" w:space="0" w:color="auto"/>
        <w:left w:val="none" w:sz="0" w:space="0" w:color="auto"/>
        <w:bottom w:val="none" w:sz="0" w:space="0" w:color="auto"/>
        <w:right w:val="none" w:sz="0" w:space="0" w:color="auto"/>
      </w:divBdr>
    </w:div>
    <w:div w:id="1025442679">
      <w:bodyDiv w:val="1"/>
      <w:marLeft w:val="0"/>
      <w:marRight w:val="0"/>
      <w:marTop w:val="0"/>
      <w:marBottom w:val="0"/>
      <w:divBdr>
        <w:top w:val="none" w:sz="0" w:space="0" w:color="auto"/>
        <w:left w:val="none" w:sz="0" w:space="0" w:color="auto"/>
        <w:bottom w:val="none" w:sz="0" w:space="0" w:color="auto"/>
        <w:right w:val="none" w:sz="0" w:space="0" w:color="auto"/>
      </w:divBdr>
    </w:div>
    <w:div w:id="1040596509">
      <w:bodyDiv w:val="1"/>
      <w:marLeft w:val="0"/>
      <w:marRight w:val="0"/>
      <w:marTop w:val="0"/>
      <w:marBottom w:val="0"/>
      <w:divBdr>
        <w:top w:val="none" w:sz="0" w:space="0" w:color="auto"/>
        <w:left w:val="none" w:sz="0" w:space="0" w:color="auto"/>
        <w:bottom w:val="none" w:sz="0" w:space="0" w:color="auto"/>
        <w:right w:val="none" w:sz="0" w:space="0" w:color="auto"/>
      </w:divBdr>
    </w:div>
    <w:div w:id="1053891026">
      <w:bodyDiv w:val="1"/>
      <w:marLeft w:val="0"/>
      <w:marRight w:val="0"/>
      <w:marTop w:val="0"/>
      <w:marBottom w:val="0"/>
      <w:divBdr>
        <w:top w:val="none" w:sz="0" w:space="0" w:color="auto"/>
        <w:left w:val="none" w:sz="0" w:space="0" w:color="auto"/>
        <w:bottom w:val="none" w:sz="0" w:space="0" w:color="auto"/>
        <w:right w:val="none" w:sz="0" w:space="0" w:color="auto"/>
      </w:divBdr>
    </w:div>
    <w:div w:id="1062678864">
      <w:bodyDiv w:val="1"/>
      <w:marLeft w:val="0"/>
      <w:marRight w:val="0"/>
      <w:marTop w:val="0"/>
      <w:marBottom w:val="0"/>
      <w:divBdr>
        <w:top w:val="none" w:sz="0" w:space="0" w:color="auto"/>
        <w:left w:val="none" w:sz="0" w:space="0" w:color="auto"/>
        <w:bottom w:val="none" w:sz="0" w:space="0" w:color="auto"/>
        <w:right w:val="none" w:sz="0" w:space="0" w:color="auto"/>
      </w:divBdr>
    </w:div>
    <w:div w:id="1063060212">
      <w:bodyDiv w:val="1"/>
      <w:marLeft w:val="0"/>
      <w:marRight w:val="0"/>
      <w:marTop w:val="0"/>
      <w:marBottom w:val="0"/>
      <w:divBdr>
        <w:top w:val="none" w:sz="0" w:space="0" w:color="auto"/>
        <w:left w:val="none" w:sz="0" w:space="0" w:color="auto"/>
        <w:bottom w:val="none" w:sz="0" w:space="0" w:color="auto"/>
        <w:right w:val="none" w:sz="0" w:space="0" w:color="auto"/>
      </w:divBdr>
    </w:div>
    <w:div w:id="1071001342">
      <w:bodyDiv w:val="1"/>
      <w:marLeft w:val="0"/>
      <w:marRight w:val="0"/>
      <w:marTop w:val="0"/>
      <w:marBottom w:val="0"/>
      <w:divBdr>
        <w:top w:val="none" w:sz="0" w:space="0" w:color="auto"/>
        <w:left w:val="none" w:sz="0" w:space="0" w:color="auto"/>
        <w:bottom w:val="none" w:sz="0" w:space="0" w:color="auto"/>
        <w:right w:val="none" w:sz="0" w:space="0" w:color="auto"/>
      </w:divBdr>
    </w:div>
    <w:div w:id="1087651994">
      <w:bodyDiv w:val="1"/>
      <w:marLeft w:val="0"/>
      <w:marRight w:val="0"/>
      <w:marTop w:val="0"/>
      <w:marBottom w:val="0"/>
      <w:divBdr>
        <w:top w:val="none" w:sz="0" w:space="0" w:color="auto"/>
        <w:left w:val="none" w:sz="0" w:space="0" w:color="auto"/>
        <w:bottom w:val="none" w:sz="0" w:space="0" w:color="auto"/>
        <w:right w:val="none" w:sz="0" w:space="0" w:color="auto"/>
      </w:divBdr>
    </w:div>
    <w:div w:id="1113985517">
      <w:bodyDiv w:val="1"/>
      <w:marLeft w:val="0"/>
      <w:marRight w:val="0"/>
      <w:marTop w:val="0"/>
      <w:marBottom w:val="0"/>
      <w:divBdr>
        <w:top w:val="none" w:sz="0" w:space="0" w:color="auto"/>
        <w:left w:val="none" w:sz="0" w:space="0" w:color="auto"/>
        <w:bottom w:val="none" w:sz="0" w:space="0" w:color="auto"/>
        <w:right w:val="none" w:sz="0" w:space="0" w:color="auto"/>
      </w:divBdr>
    </w:div>
    <w:div w:id="1117411136">
      <w:bodyDiv w:val="1"/>
      <w:marLeft w:val="0"/>
      <w:marRight w:val="0"/>
      <w:marTop w:val="0"/>
      <w:marBottom w:val="0"/>
      <w:divBdr>
        <w:top w:val="none" w:sz="0" w:space="0" w:color="auto"/>
        <w:left w:val="none" w:sz="0" w:space="0" w:color="auto"/>
        <w:bottom w:val="none" w:sz="0" w:space="0" w:color="auto"/>
        <w:right w:val="none" w:sz="0" w:space="0" w:color="auto"/>
      </w:divBdr>
    </w:div>
    <w:div w:id="1147671477">
      <w:bodyDiv w:val="1"/>
      <w:marLeft w:val="0"/>
      <w:marRight w:val="0"/>
      <w:marTop w:val="0"/>
      <w:marBottom w:val="0"/>
      <w:divBdr>
        <w:top w:val="none" w:sz="0" w:space="0" w:color="auto"/>
        <w:left w:val="none" w:sz="0" w:space="0" w:color="auto"/>
        <w:bottom w:val="none" w:sz="0" w:space="0" w:color="auto"/>
        <w:right w:val="none" w:sz="0" w:space="0" w:color="auto"/>
      </w:divBdr>
    </w:div>
    <w:div w:id="1161896163">
      <w:bodyDiv w:val="1"/>
      <w:marLeft w:val="0"/>
      <w:marRight w:val="0"/>
      <w:marTop w:val="0"/>
      <w:marBottom w:val="0"/>
      <w:divBdr>
        <w:top w:val="none" w:sz="0" w:space="0" w:color="auto"/>
        <w:left w:val="none" w:sz="0" w:space="0" w:color="auto"/>
        <w:bottom w:val="none" w:sz="0" w:space="0" w:color="auto"/>
        <w:right w:val="none" w:sz="0" w:space="0" w:color="auto"/>
      </w:divBdr>
    </w:div>
    <w:div w:id="1192453847">
      <w:bodyDiv w:val="1"/>
      <w:marLeft w:val="0"/>
      <w:marRight w:val="0"/>
      <w:marTop w:val="0"/>
      <w:marBottom w:val="0"/>
      <w:divBdr>
        <w:top w:val="none" w:sz="0" w:space="0" w:color="auto"/>
        <w:left w:val="none" w:sz="0" w:space="0" w:color="auto"/>
        <w:bottom w:val="none" w:sz="0" w:space="0" w:color="auto"/>
        <w:right w:val="none" w:sz="0" w:space="0" w:color="auto"/>
      </w:divBdr>
    </w:div>
    <w:div w:id="1219442431">
      <w:bodyDiv w:val="1"/>
      <w:marLeft w:val="0"/>
      <w:marRight w:val="0"/>
      <w:marTop w:val="0"/>
      <w:marBottom w:val="0"/>
      <w:divBdr>
        <w:top w:val="none" w:sz="0" w:space="0" w:color="auto"/>
        <w:left w:val="none" w:sz="0" w:space="0" w:color="auto"/>
        <w:bottom w:val="none" w:sz="0" w:space="0" w:color="auto"/>
        <w:right w:val="none" w:sz="0" w:space="0" w:color="auto"/>
      </w:divBdr>
    </w:div>
    <w:div w:id="1220819027">
      <w:bodyDiv w:val="1"/>
      <w:marLeft w:val="0"/>
      <w:marRight w:val="0"/>
      <w:marTop w:val="0"/>
      <w:marBottom w:val="0"/>
      <w:divBdr>
        <w:top w:val="none" w:sz="0" w:space="0" w:color="auto"/>
        <w:left w:val="none" w:sz="0" w:space="0" w:color="auto"/>
        <w:bottom w:val="none" w:sz="0" w:space="0" w:color="auto"/>
        <w:right w:val="none" w:sz="0" w:space="0" w:color="auto"/>
      </w:divBdr>
    </w:div>
    <w:div w:id="1239704892">
      <w:bodyDiv w:val="1"/>
      <w:marLeft w:val="0"/>
      <w:marRight w:val="0"/>
      <w:marTop w:val="0"/>
      <w:marBottom w:val="0"/>
      <w:divBdr>
        <w:top w:val="none" w:sz="0" w:space="0" w:color="auto"/>
        <w:left w:val="none" w:sz="0" w:space="0" w:color="auto"/>
        <w:bottom w:val="none" w:sz="0" w:space="0" w:color="auto"/>
        <w:right w:val="none" w:sz="0" w:space="0" w:color="auto"/>
      </w:divBdr>
    </w:div>
    <w:div w:id="1298337944">
      <w:bodyDiv w:val="1"/>
      <w:marLeft w:val="0"/>
      <w:marRight w:val="0"/>
      <w:marTop w:val="0"/>
      <w:marBottom w:val="0"/>
      <w:divBdr>
        <w:top w:val="none" w:sz="0" w:space="0" w:color="auto"/>
        <w:left w:val="none" w:sz="0" w:space="0" w:color="auto"/>
        <w:bottom w:val="none" w:sz="0" w:space="0" w:color="auto"/>
        <w:right w:val="none" w:sz="0" w:space="0" w:color="auto"/>
      </w:divBdr>
    </w:div>
    <w:div w:id="1322150592">
      <w:bodyDiv w:val="1"/>
      <w:marLeft w:val="0"/>
      <w:marRight w:val="0"/>
      <w:marTop w:val="0"/>
      <w:marBottom w:val="0"/>
      <w:divBdr>
        <w:top w:val="none" w:sz="0" w:space="0" w:color="auto"/>
        <w:left w:val="none" w:sz="0" w:space="0" w:color="auto"/>
        <w:bottom w:val="none" w:sz="0" w:space="0" w:color="auto"/>
        <w:right w:val="none" w:sz="0" w:space="0" w:color="auto"/>
      </w:divBdr>
    </w:div>
    <w:div w:id="1331563339">
      <w:bodyDiv w:val="1"/>
      <w:marLeft w:val="0"/>
      <w:marRight w:val="0"/>
      <w:marTop w:val="0"/>
      <w:marBottom w:val="0"/>
      <w:divBdr>
        <w:top w:val="none" w:sz="0" w:space="0" w:color="auto"/>
        <w:left w:val="none" w:sz="0" w:space="0" w:color="auto"/>
        <w:bottom w:val="none" w:sz="0" w:space="0" w:color="auto"/>
        <w:right w:val="none" w:sz="0" w:space="0" w:color="auto"/>
      </w:divBdr>
    </w:div>
    <w:div w:id="1350566588">
      <w:bodyDiv w:val="1"/>
      <w:marLeft w:val="0"/>
      <w:marRight w:val="0"/>
      <w:marTop w:val="0"/>
      <w:marBottom w:val="0"/>
      <w:divBdr>
        <w:top w:val="none" w:sz="0" w:space="0" w:color="auto"/>
        <w:left w:val="none" w:sz="0" w:space="0" w:color="auto"/>
        <w:bottom w:val="none" w:sz="0" w:space="0" w:color="auto"/>
        <w:right w:val="none" w:sz="0" w:space="0" w:color="auto"/>
      </w:divBdr>
    </w:div>
    <w:div w:id="1370498329">
      <w:bodyDiv w:val="1"/>
      <w:marLeft w:val="0"/>
      <w:marRight w:val="0"/>
      <w:marTop w:val="0"/>
      <w:marBottom w:val="0"/>
      <w:divBdr>
        <w:top w:val="none" w:sz="0" w:space="0" w:color="auto"/>
        <w:left w:val="none" w:sz="0" w:space="0" w:color="auto"/>
        <w:bottom w:val="none" w:sz="0" w:space="0" w:color="auto"/>
        <w:right w:val="none" w:sz="0" w:space="0" w:color="auto"/>
      </w:divBdr>
    </w:div>
    <w:div w:id="1371102006">
      <w:bodyDiv w:val="1"/>
      <w:marLeft w:val="0"/>
      <w:marRight w:val="0"/>
      <w:marTop w:val="0"/>
      <w:marBottom w:val="0"/>
      <w:divBdr>
        <w:top w:val="none" w:sz="0" w:space="0" w:color="auto"/>
        <w:left w:val="none" w:sz="0" w:space="0" w:color="auto"/>
        <w:bottom w:val="none" w:sz="0" w:space="0" w:color="auto"/>
        <w:right w:val="none" w:sz="0" w:space="0" w:color="auto"/>
      </w:divBdr>
    </w:div>
    <w:div w:id="1386491869">
      <w:bodyDiv w:val="1"/>
      <w:marLeft w:val="0"/>
      <w:marRight w:val="0"/>
      <w:marTop w:val="0"/>
      <w:marBottom w:val="0"/>
      <w:divBdr>
        <w:top w:val="none" w:sz="0" w:space="0" w:color="auto"/>
        <w:left w:val="none" w:sz="0" w:space="0" w:color="auto"/>
        <w:bottom w:val="none" w:sz="0" w:space="0" w:color="auto"/>
        <w:right w:val="none" w:sz="0" w:space="0" w:color="auto"/>
      </w:divBdr>
    </w:div>
    <w:div w:id="1405224668">
      <w:bodyDiv w:val="1"/>
      <w:marLeft w:val="0"/>
      <w:marRight w:val="0"/>
      <w:marTop w:val="0"/>
      <w:marBottom w:val="0"/>
      <w:divBdr>
        <w:top w:val="none" w:sz="0" w:space="0" w:color="auto"/>
        <w:left w:val="none" w:sz="0" w:space="0" w:color="auto"/>
        <w:bottom w:val="none" w:sz="0" w:space="0" w:color="auto"/>
        <w:right w:val="none" w:sz="0" w:space="0" w:color="auto"/>
      </w:divBdr>
    </w:div>
    <w:div w:id="1407606438">
      <w:bodyDiv w:val="1"/>
      <w:marLeft w:val="0"/>
      <w:marRight w:val="0"/>
      <w:marTop w:val="0"/>
      <w:marBottom w:val="0"/>
      <w:divBdr>
        <w:top w:val="none" w:sz="0" w:space="0" w:color="auto"/>
        <w:left w:val="none" w:sz="0" w:space="0" w:color="auto"/>
        <w:bottom w:val="none" w:sz="0" w:space="0" w:color="auto"/>
        <w:right w:val="none" w:sz="0" w:space="0" w:color="auto"/>
      </w:divBdr>
    </w:div>
    <w:div w:id="1421834486">
      <w:bodyDiv w:val="1"/>
      <w:marLeft w:val="0"/>
      <w:marRight w:val="0"/>
      <w:marTop w:val="0"/>
      <w:marBottom w:val="0"/>
      <w:divBdr>
        <w:top w:val="none" w:sz="0" w:space="0" w:color="auto"/>
        <w:left w:val="none" w:sz="0" w:space="0" w:color="auto"/>
        <w:bottom w:val="none" w:sz="0" w:space="0" w:color="auto"/>
        <w:right w:val="none" w:sz="0" w:space="0" w:color="auto"/>
      </w:divBdr>
    </w:div>
    <w:div w:id="1425999150">
      <w:bodyDiv w:val="1"/>
      <w:marLeft w:val="0"/>
      <w:marRight w:val="0"/>
      <w:marTop w:val="0"/>
      <w:marBottom w:val="0"/>
      <w:divBdr>
        <w:top w:val="none" w:sz="0" w:space="0" w:color="auto"/>
        <w:left w:val="none" w:sz="0" w:space="0" w:color="auto"/>
        <w:bottom w:val="none" w:sz="0" w:space="0" w:color="auto"/>
        <w:right w:val="none" w:sz="0" w:space="0" w:color="auto"/>
      </w:divBdr>
    </w:div>
    <w:div w:id="1430850381">
      <w:bodyDiv w:val="1"/>
      <w:marLeft w:val="0"/>
      <w:marRight w:val="0"/>
      <w:marTop w:val="0"/>
      <w:marBottom w:val="0"/>
      <w:divBdr>
        <w:top w:val="none" w:sz="0" w:space="0" w:color="auto"/>
        <w:left w:val="none" w:sz="0" w:space="0" w:color="auto"/>
        <w:bottom w:val="none" w:sz="0" w:space="0" w:color="auto"/>
        <w:right w:val="none" w:sz="0" w:space="0" w:color="auto"/>
      </w:divBdr>
    </w:div>
    <w:div w:id="1444426034">
      <w:bodyDiv w:val="1"/>
      <w:marLeft w:val="0"/>
      <w:marRight w:val="0"/>
      <w:marTop w:val="0"/>
      <w:marBottom w:val="0"/>
      <w:divBdr>
        <w:top w:val="none" w:sz="0" w:space="0" w:color="auto"/>
        <w:left w:val="none" w:sz="0" w:space="0" w:color="auto"/>
        <w:bottom w:val="none" w:sz="0" w:space="0" w:color="auto"/>
        <w:right w:val="none" w:sz="0" w:space="0" w:color="auto"/>
      </w:divBdr>
    </w:div>
    <w:div w:id="1469082004">
      <w:bodyDiv w:val="1"/>
      <w:marLeft w:val="0"/>
      <w:marRight w:val="0"/>
      <w:marTop w:val="0"/>
      <w:marBottom w:val="0"/>
      <w:divBdr>
        <w:top w:val="none" w:sz="0" w:space="0" w:color="auto"/>
        <w:left w:val="none" w:sz="0" w:space="0" w:color="auto"/>
        <w:bottom w:val="none" w:sz="0" w:space="0" w:color="auto"/>
        <w:right w:val="none" w:sz="0" w:space="0" w:color="auto"/>
      </w:divBdr>
    </w:div>
    <w:div w:id="1486363096">
      <w:bodyDiv w:val="1"/>
      <w:marLeft w:val="0"/>
      <w:marRight w:val="0"/>
      <w:marTop w:val="0"/>
      <w:marBottom w:val="0"/>
      <w:divBdr>
        <w:top w:val="none" w:sz="0" w:space="0" w:color="auto"/>
        <w:left w:val="none" w:sz="0" w:space="0" w:color="auto"/>
        <w:bottom w:val="none" w:sz="0" w:space="0" w:color="auto"/>
        <w:right w:val="none" w:sz="0" w:space="0" w:color="auto"/>
      </w:divBdr>
    </w:div>
    <w:div w:id="1493177135">
      <w:bodyDiv w:val="1"/>
      <w:marLeft w:val="0"/>
      <w:marRight w:val="0"/>
      <w:marTop w:val="0"/>
      <w:marBottom w:val="0"/>
      <w:divBdr>
        <w:top w:val="none" w:sz="0" w:space="0" w:color="auto"/>
        <w:left w:val="none" w:sz="0" w:space="0" w:color="auto"/>
        <w:bottom w:val="none" w:sz="0" w:space="0" w:color="auto"/>
        <w:right w:val="none" w:sz="0" w:space="0" w:color="auto"/>
      </w:divBdr>
    </w:div>
    <w:div w:id="1495029738">
      <w:bodyDiv w:val="1"/>
      <w:marLeft w:val="0"/>
      <w:marRight w:val="0"/>
      <w:marTop w:val="0"/>
      <w:marBottom w:val="0"/>
      <w:divBdr>
        <w:top w:val="none" w:sz="0" w:space="0" w:color="auto"/>
        <w:left w:val="none" w:sz="0" w:space="0" w:color="auto"/>
        <w:bottom w:val="none" w:sz="0" w:space="0" w:color="auto"/>
        <w:right w:val="none" w:sz="0" w:space="0" w:color="auto"/>
      </w:divBdr>
    </w:div>
    <w:div w:id="1515921254">
      <w:bodyDiv w:val="1"/>
      <w:marLeft w:val="0"/>
      <w:marRight w:val="0"/>
      <w:marTop w:val="0"/>
      <w:marBottom w:val="0"/>
      <w:divBdr>
        <w:top w:val="none" w:sz="0" w:space="0" w:color="auto"/>
        <w:left w:val="none" w:sz="0" w:space="0" w:color="auto"/>
        <w:bottom w:val="none" w:sz="0" w:space="0" w:color="auto"/>
        <w:right w:val="none" w:sz="0" w:space="0" w:color="auto"/>
      </w:divBdr>
    </w:div>
    <w:div w:id="1525286158">
      <w:bodyDiv w:val="1"/>
      <w:marLeft w:val="0"/>
      <w:marRight w:val="0"/>
      <w:marTop w:val="0"/>
      <w:marBottom w:val="0"/>
      <w:divBdr>
        <w:top w:val="none" w:sz="0" w:space="0" w:color="auto"/>
        <w:left w:val="none" w:sz="0" w:space="0" w:color="auto"/>
        <w:bottom w:val="none" w:sz="0" w:space="0" w:color="auto"/>
        <w:right w:val="none" w:sz="0" w:space="0" w:color="auto"/>
      </w:divBdr>
    </w:div>
    <w:div w:id="1529294589">
      <w:bodyDiv w:val="1"/>
      <w:marLeft w:val="0"/>
      <w:marRight w:val="0"/>
      <w:marTop w:val="0"/>
      <w:marBottom w:val="0"/>
      <w:divBdr>
        <w:top w:val="none" w:sz="0" w:space="0" w:color="auto"/>
        <w:left w:val="none" w:sz="0" w:space="0" w:color="auto"/>
        <w:bottom w:val="none" w:sz="0" w:space="0" w:color="auto"/>
        <w:right w:val="none" w:sz="0" w:space="0" w:color="auto"/>
      </w:divBdr>
    </w:div>
    <w:div w:id="1536845411">
      <w:bodyDiv w:val="1"/>
      <w:marLeft w:val="0"/>
      <w:marRight w:val="0"/>
      <w:marTop w:val="0"/>
      <w:marBottom w:val="0"/>
      <w:divBdr>
        <w:top w:val="none" w:sz="0" w:space="0" w:color="auto"/>
        <w:left w:val="none" w:sz="0" w:space="0" w:color="auto"/>
        <w:bottom w:val="none" w:sz="0" w:space="0" w:color="auto"/>
        <w:right w:val="none" w:sz="0" w:space="0" w:color="auto"/>
      </w:divBdr>
    </w:div>
    <w:div w:id="1541353788">
      <w:bodyDiv w:val="1"/>
      <w:marLeft w:val="0"/>
      <w:marRight w:val="0"/>
      <w:marTop w:val="0"/>
      <w:marBottom w:val="0"/>
      <w:divBdr>
        <w:top w:val="none" w:sz="0" w:space="0" w:color="auto"/>
        <w:left w:val="none" w:sz="0" w:space="0" w:color="auto"/>
        <w:bottom w:val="none" w:sz="0" w:space="0" w:color="auto"/>
        <w:right w:val="none" w:sz="0" w:space="0" w:color="auto"/>
      </w:divBdr>
    </w:div>
    <w:div w:id="1547403014">
      <w:bodyDiv w:val="1"/>
      <w:marLeft w:val="0"/>
      <w:marRight w:val="0"/>
      <w:marTop w:val="0"/>
      <w:marBottom w:val="0"/>
      <w:divBdr>
        <w:top w:val="none" w:sz="0" w:space="0" w:color="auto"/>
        <w:left w:val="none" w:sz="0" w:space="0" w:color="auto"/>
        <w:bottom w:val="none" w:sz="0" w:space="0" w:color="auto"/>
        <w:right w:val="none" w:sz="0" w:space="0" w:color="auto"/>
      </w:divBdr>
    </w:div>
    <w:div w:id="1554459855">
      <w:bodyDiv w:val="1"/>
      <w:marLeft w:val="0"/>
      <w:marRight w:val="0"/>
      <w:marTop w:val="0"/>
      <w:marBottom w:val="0"/>
      <w:divBdr>
        <w:top w:val="none" w:sz="0" w:space="0" w:color="auto"/>
        <w:left w:val="none" w:sz="0" w:space="0" w:color="auto"/>
        <w:bottom w:val="none" w:sz="0" w:space="0" w:color="auto"/>
        <w:right w:val="none" w:sz="0" w:space="0" w:color="auto"/>
      </w:divBdr>
    </w:div>
    <w:div w:id="1588150034">
      <w:bodyDiv w:val="1"/>
      <w:marLeft w:val="0"/>
      <w:marRight w:val="0"/>
      <w:marTop w:val="0"/>
      <w:marBottom w:val="0"/>
      <w:divBdr>
        <w:top w:val="none" w:sz="0" w:space="0" w:color="auto"/>
        <w:left w:val="none" w:sz="0" w:space="0" w:color="auto"/>
        <w:bottom w:val="none" w:sz="0" w:space="0" w:color="auto"/>
        <w:right w:val="none" w:sz="0" w:space="0" w:color="auto"/>
      </w:divBdr>
    </w:div>
    <w:div w:id="1633512888">
      <w:bodyDiv w:val="1"/>
      <w:marLeft w:val="0"/>
      <w:marRight w:val="0"/>
      <w:marTop w:val="0"/>
      <w:marBottom w:val="0"/>
      <w:divBdr>
        <w:top w:val="none" w:sz="0" w:space="0" w:color="auto"/>
        <w:left w:val="none" w:sz="0" w:space="0" w:color="auto"/>
        <w:bottom w:val="none" w:sz="0" w:space="0" w:color="auto"/>
        <w:right w:val="none" w:sz="0" w:space="0" w:color="auto"/>
      </w:divBdr>
    </w:div>
    <w:div w:id="1655061524">
      <w:bodyDiv w:val="1"/>
      <w:marLeft w:val="0"/>
      <w:marRight w:val="0"/>
      <w:marTop w:val="0"/>
      <w:marBottom w:val="0"/>
      <w:divBdr>
        <w:top w:val="none" w:sz="0" w:space="0" w:color="auto"/>
        <w:left w:val="none" w:sz="0" w:space="0" w:color="auto"/>
        <w:bottom w:val="none" w:sz="0" w:space="0" w:color="auto"/>
        <w:right w:val="none" w:sz="0" w:space="0" w:color="auto"/>
      </w:divBdr>
    </w:div>
    <w:div w:id="1696538128">
      <w:bodyDiv w:val="1"/>
      <w:marLeft w:val="0"/>
      <w:marRight w:val="0"/>
      <w:marTop w:val="0"/>
      <w:marBottom w:val="0"/>
      <w:divBdr>
        <w:top w:val="none" w:sz="0" w:space="0" w:color="auto"/>
        <w:left w:val="none" w:sz="0" w:space="0" w:color="auto"/>
        <w:bottom w:val="none" w:sz="0" w:space="0" w:color="auto"/>
        <w:right w:val="none" w:sz="0" w:space="0" w:color="auto"/>
      </w:divBdr>
    </w:div>
    <w:div w:id="1739589750">
      <w:bodyDiv w:val="1"/>
      <w:marLeft w:val="0"/>
      <w:marRight w:val="0"/>
      <w:marTop w:val="0"/>
      <w:marBottom w:val="0"/>
      <w:divBdr>
        <w:top w:val="none" w:sz="0" w:space="0" w:color="auto"/>
        <w:left w:val="none" w:sz="0" w:space="0" w:color="auto"/>
        <w:bottom w:val="none" w:sz="0" w:space="0" w:color="auto"/>
        <w:right w:val="none" w:sz="0" w:space="0" w:color="auto"/>
      </w:divBdr>
    </w:div>
    <w:div w:id="1752727514">
      <w:bodyDiv w:val="1"/>
      <w:marLeft w:val="0"/>
      <w:marRight w:val="0"/>
      <w:marTop w:val="0"/>
      <w:marBottom w:val="0"/>
      <w:divBdr>
        <w:top w:val="none" w:sz="0" w:space="0" w:color="auto"/>
        <w:left w:val="none" w:sz="0" w:space="0" w:color="auto"/>
        <w:bottom w:val="none" w:sz="0" w:space="0" w:color="auto"/>
        <w:right w:val="none" w:sz="0" w:space="0" w:color="auto"/>
      </w:divBdr>
    </w:div>
    <w:div w:id="1806459740">
      <w:bodyDiv w:val="1"/>
      <w:marLeft w:val="0"/>
      <w:marRight w:val="0"/>
      <w:marTop w:val="0"/>
      <w:marBottom w:val="0"/>
      <w:divBdr>
        <w:top w:val="none" w:sz="0" w:space="0" w:color="auto"/>
        <w:left w:val="none" w:sz="0" w:space="0" w:color="auto"/>
        <w:bottom w:val="none" w:sz="0" w:space="0" w:color="auto"/>
        <w:right w:val="none" w:sz="0" w:space="0" w:color="auto"/>
      </w:divBdr>
    </w:div>
    <w:div w:id="1829588803">
      <w:bodyDiv w:val="1"/>
      <w:marLeft w:val="0"/>
      <w:marRight w:val="0"/>
      <w:marTop w:val="0"/>
      <w:marBottom w:val="0"/>
      <w:divBdr>
        <w:top w:val="none" w:sz="0" w:space="0" w:color="auto"/>
        <w:left w:val="none" w:sz="0" w:space="0" w:color="auto"/>
        <w:bottom w:val="none" w:sz="0" w:space="0" w:color="auto"/>
        <w:right w:val="none" w:sz="0" w:space="0" w:color="auto"/>
      </w:divBdr>
    </w:div>
    <w:div w:id="1858351278">
      <w:bodyDiv w:val="1"/>
      <w:marLeft w:val="0"/>
      <w:marRight w:val="0"/>
      <w:marTop w:val="0"/>
      <w:marBottom w:val="0"/>
      <w:divBdr>
        <w:top w:val="none" w:sz="0" w:space="0" w:color="auto"/>
        <w:left w:val="none" w:sz="0" w:space="0" w:color="auto"/>
        <w:bottom w:val="none" w:sz="0" w:space="0" w:color="auto"/>
        <w:right w:val="none" w:sz="0" w:space="0" w:color="auto"/>
      </w:divBdr>
    </w:div>
    <w:div w:id="1879663294">
      <w:bodyDiv w:val="1"/>
      <w:marLeft w:val="0"/>
      <w:marRight w:val="0"/>
      <w:marTop w:val="0"/>
      <w:marBottom w:val="0"/>
      <w:divBdr>
        <w:top w:val="none" w:sz="0" w:space="0" w:color="auto"/>
        <w:left w:val="none" w:sz="0" w:space="0" w:color="auto"/>
        <w:bottom w:val="none" w:sz="0" w:space="0" w:color="auto"/>
        <w:right w:val="none" w:sz="0" w:space="0" w:color="auto"/>
      </w:divBdr>
    </w:div>
    <w:div w:id="1893538255">
      <w:bodyDiv w:val="1"/>
      <w:marLeft w:val="0"/>
      <w:marRight w:val="0"/>
      <w:marTop w:val="0"/>
      <w:marBottom w:val="0"/>
      <w:divBdr>
        <w:top w:val="none" w:sz="0" w:space="0" w:color="auto"/>
        <w:left w:val="none" w:sz="0" w:space="0" w:color="auto"/>
        <w:bottom w:val="none" w:sz="0" w:space="0" w:color="auto"/>
        <w:right w:val="none" w:sz="0" w:space="0" w:color="auto"/>
      </w:divBdr>
    </w:div>
    <w:div w:id="1962807403">
      <w:bodyDiv w:val="1"/>
      <w:marLeft w:val="0"/>
      <w:marRight w:val="0"/>
      <w:marTop w:val="0"/>
      <w:marBottom w:val="0"/>
      <w:divBdr>
        <w:top w:val="none" w:sz="0" w:space="0" w:color="auto"/>
        <w:left w:val="none" w:sz="0" w:space="0" w:color="auto"/>
        <w:bottom w:val="none" w:sz="0" w:space="0" w:color="auto"/>
        <w:right w:val="none" w:sz="0" w:space="0" w:color="auto"/>
      </w:divBdr>
    </w:div>
    <w:div w:id="1963682118">
      <w:bodyDiv w:val="1"/>
      <w:marLeft w:val="0"/>
      <w:marRight w:val="0"/>
      <w:marTop w:val="0"/>
      <w:marBottom w:val="0"/>
      <w:divBdr>
        <w:top w:val="none" w:sz="0" w:space="0" w:color="auto"/>
        <w:left w:val="none" w:sz="0" w:space="0" w:color="auto"/>
        <w:bottom w:val="none" w:sz="0" w:space="0" w:color="auto"/>
        <w:right w:val="none" w:sz="0" w:space="0" w:color="auto"/>
      </w:divBdr>
    </w:div>
    <w:div w:id="1974823117">
      <w:bodyDiv w:val="1"/>
      <w:marLeft w:val="0"/>
      <w:marRight w:val="0"/>
      <w:marTop w:val="0"/>
      <w:marBottom w:val="0"/>
      <w:divBdr>
        <w:top w:val="none" w:sz="0" w:space="0" w:color="auto"/>
        <w:left w:val="none" w:sz="0" w:space="0" w:color="auto"/>
        <w:bottom w:val="none" w:sz="0" w:space="0" w:color="auto"/>
        <w:right w:val="none" w:sz="0" w:space="0" w:color="auto"/>
      </w:divBdr>
    </w:div>
    <w:div w:id="1979801584">
      <w:bodyDiv w:val="1"/>
      <w:marLeft w:val="0"/>
      <w:marRight w:val="0"/>
      <w:marTop w:val="0"/>
      <w:marBottom w:val="0"/>
      <w:divBdr>
        <w:top w:val="none" w:sz="0" w:space="0" w:color="auto"/>
        <w:left w:val="none" w:sz="0" w:space="0" w:color="auto"/>
        <w:bottom w:val="none" w:sz="0" w:space="0" w:color="auto"/>
        <w:right w:val="none" w:sz="0" w:space="0" w:color="auto"/>
      </w:divBdr>
    </w:div>
    <w:div w:id="1989478696">
      <w:bodyDiv w:val="1"/>
      <w:marLeft w:val="0"/>
      <w:marRight w:val="0"/>
      <w:marTop w:val="0"/>
      <w:marBottom w:val="0"/>
      <w:divBdr>
        <w:top w:val="none" w:sz="0" w:space="0" w:color="auto"/>
        <w:left w:val="none" w:sz="0" w:space="0" w:color="auto"/>
        <w:bottom w:val="none" w:sz="0" w:space="0" w:color="auto"/>
        <w:right w:val="none" w:sz="0" w:space="0" w:color="auto"/>
      </w:divBdr>
    </w:div>
    <w:div w:id="1991861064">
      <w:bodyDiv w:val="1"/>
      <w:marLeft w:val="0"/>
      <w:marRight w:val="0"/>
      <w:marTop w:val="0"/>
      <w:marBottom w:val="0"/>
      <w:divBdr>
        <w:top w:val="none" w:sz="0" w:space="0" w:color="auto"/>
        <w:left w:val="none" w:sz="0" w:space="0" w:color="auto"/>
        <w:bottom w:val="none" w:sz="0" w:space="0" w:color="auto"/>
        <w:right w:val="none" w:sz="0" w:space="0" w:color="auto"/>
      </w:divBdr>
    </w:div>
    <w:div w:id="2021007640">
      <w:bodyDiv w:val="1"/>
      <w:marLeft w:val="0"/>
      <w:marRight w:val="0"/>
      <w:marTop w:val="0"/>
      <w:marBottom w:val="0"/>
      <w:divBdr>
        <w:top w:val="none" w:sz="0" w:space="0" w:color="auto"/>
        <w:left w:val="none" w:sz="0" w:space="0" w:color="auto"/>
        <w:bottom w:val="none" w:sz="0" w:space="0" w:color="auto"/>
        <w:right w:val="none" w:sz="0" w:space="0" w:color="auto"/>
      </w:divBdr>
    </w:div>
    <w:div w:id="2036081412">
      <w:bodyDiv w:val="1"/>
      <w:marLeft w:val="0"/>
      <w:marRight w:val="0"/>
      <w:marTop w:val="0"/>
      <w:marBottom w:val="0"/>
      <w:divBdr>
        <w:top w:val="none" w:sz="0" w:space="0" w:color="auto"/>
        <w:left w:val="none" w:sz="0" w:space="0" w:color="auto"/>
        <w:bottom w:val="none" w:sz="0" w:space="0" w:color="auto"/>
        <w:right w:val="none" w:sz="0" w:space="0" w:color="auto"/>
      </w:divBdr>
    </w:div>
    <w:div w:id="2044555728">
      <w:bodyDiv w:val="1"/>
      <w:marLeft w:val="0"/>
      <w:marRight w:val="0"/>
      <w:marTop w:val="0"/>
      <w:marBottom w:val="0"/>
      <w:divBdr>
        <w:top w:val="none" w:sz="0" w:space="0" w:color="auto"/>
        <w:left w:val="none" w:sz="0" w:space="0" w:color="auto"/>
        <w:bottom w:val="none" w:sz="0" w:space="0" w:color="auto"/>
        <w:right w:val="none" w:sz="0" w:space="0" w:color="auto"/>
      </w:divBdr>
    </w:div>
    <w:div w:id="2045907801">
      <w:bodyDiv w:val="1"/>
      <w:marLeft w:val="0"/>
      <w:marRight w:val="0"/>
      <w:marTop w:val="0"/>
      <w:marBottom w:val="0"/>
      <w:divBdr>
        <w:top w:val="none" w:sz="0" w:space="0" w:color="auto"/>
        <w:left w:val="none" w:sz="0" w:space="0" w:color="auto"/>
        <w:bottom w:val="none" w:sz="0" w:space="0" w:color="auto"/>
        <w:right w:val="none" w:sz="0" w:space="0" w:color="auto"/>
      </w:divBdr>
    </w:div>
    <w:div w:id="2049913589">
      <w:bodyDiv w:val="1"/>
      <w:marLeft w:val="0"/>
      <w:marRight w:val="0"/>
      <w:marTop w:val="0"/>
      <w:marBottom w:val="0"/>
      <w:divBdr>
        <w:top w:val="none" w:sz="0" w:space="0" w:color="auto"/>
        <w:left w:val="none" w:sz="0" w:space="0" w:color="auto"/>
        <w:bottom w:val="none" w:sz="0" w:space="0" w:color="auto"/>
        <w:right w:val="none" w:sz="0" w:space="0" w:color="auto"/>
      </w:divBdr>
    </w:div>
    <w:div w:id="2098208231">
      <w:bodyDiv w:val="1"/>
      <w:marLeft w:val="0"/>
      <w:marRight w:val="0"/>
      <w:marTop w:val="0"/>
      <w:marBottom w:val="0"/>
      <w:divBdr>
        <w:top w:val="none" w:sz="0" w:space="0" w:color="auto"/>
        <w:left w:val="none" w:sz="0" w:space="0" w:color="auto"/>
        <w:bottom w:val="none" w:sz="0" w:space="0" w:color="auto"/>
        <w:right w:val="none" w:sz="0" w:space="0" w:color="auto"/>
      </w:divBdr>
    </w:div>
    <w:div w:id="2101413675">
      <w:bodyDiv w:val="1"/>
      <w:marLeft w:val="0"/>
      <w:marRight w:val="0"/>
      <w:marTop w:val="0"/>
      <w:marBottom w:val="0"/>
      <w:divBdr>
        <w:top w:val="none" w:sz="0" w:space="0" w:color="auto"/>
        <w:left w:val="none" w:sz="0" w:space="0" w:color="auto"/>
        <w:bottom w:val="none" w:sz="0" w:space="0" w:color="auto"/>
        <w:right w:val="none" w:sz="0" w:space="0" w:color="auto"/>
      </w:divBdr>
    </w:div>
    <w:div w:id="2105805198">
      <w:bodyDiv w:val="1"/>
      <w:marLeft w:val="0"/>
      <w:marRight w:val="0"/>
      <w:marTop w:val="0"/>
      <w:marBottom w:val="0"/>
      <w:divBdr>
        <w:top w:val="none" w:sz="0" w:space="0" w:color="auto"/>
        <w:left w:val="none" w:sz="0" w:space="0" w:color="auto"/>
        <w:bottom w:val="none" w:sz="0" w:space="0" w:color="auto"/>
        <w:right w:val="none" w:sz="0" w:space="0" w:color="auto"/>
      </w:divBdr>
    </w:div>
    <w:div w:id="2113546659">
      <w:bodyDiv w:val="1"/>
      <w:marLeft w:val="0"/>
      <w:marRight w:val="0"/>
      <w:marTop w:val="0"/>
      <w:marBottom w:val="0"/>
      <w:divBdr>
        <w:top w:val="none" w:sz="0" w:space="0" w:color="auto"/>
        <w:left w:val="none" w:sz="0" w:space="0" w:color="auto"/>
        <w:bottom w:val="none" w:sz="0" w:space="0" w:color="auto"/>
        <w:right w:val="none" w:sz="0" w:space="0" w:color="auto"/>
      </w:divBdr>
    </w:div>
    <w:div w:id="2146773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tiff"/><Relationship Id="rId3" Type="http://schemas.openxmlformats.org/officeDocument/2006/relationships/webSettings" Target="webSettings.xml"/><Relationship Id="rId7" Type="http://schemas.openxmlformats.org/officeDocument/2006/relationships/image" Target="media/image1.tiff"/><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Andrew.Oxley@deakin.edu.au"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tiff"/></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TotalTime>
  <Pages>10</Pages>
  <Words>3736</Words>
  <Characters>21298</Characters>
  <Application>Microsoft Office Word</Application>
  <DocSecurity>0</DocSecurity>
  <Lines>177</Lines>
  <Paragraphs>49</Paragraphs>
  <ScaleCrop>false</ScaleCrop>
  <HeadingPairs>
    <vt:vector size="2" baseType="variant">
      <vt:variant>
        <vt:lpstr>Title</vt:lpstr>
      </vt:variant>
      <vt:variant>
        <vt:i4>1</vt:i4>
      </vt:variant>
    </vt:vector>
  </HeadingPairs>
  <TitlesOfParts>
    <vt:vector size="1" baseType="lpstr">
      <vt:lpstr/>
    </vt:vector>
  </TitlesOfParts>
  <Company>Deakin University</Company>
  <LinksUpToDate>false</LinksUpToDate>
  <CharactersWithSpaces>24985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Andrew Oxley</dc:creator>
  <cp:keywords/>
  <dc:description/>
  <cp:lastModifiedBy>Andrew Oxley</cp:lastModifiedBy>
  <cp:revision>5</cp:revision>
  <dcterms:created xsi:type="dcterms:W3CDTF">2022-08-02T03:34:00Z</dcterms:created>
  <dcterms:modified xsi:type="dcterms:W3CDTF">2022-08-02T03:44:00Z</dcterms:modified>
</cp:coreProperties>
</file>