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AC" w:rsidRPr="0060445A" w:rsidRDefault="00A01EAC" w:rsidP="00A01EAC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Table 4</w:t>
      </w:r>
      <w:r w:rsidRPr="0060445A">
        <w:rPr>
          <w:rFonts w:ascii="Arial" w:hAnsi="Arial" w:cs="Arial"/>
          <w:shd w:val="clear" w:color="auto" w:fill="FFFFFF"/>
        </w:rPr>
        <w:t xml:space="preserve">: Proportion of excess and deficit prescription days among recommendations from residents and pediatricians compared to </w:t>
      </w:r>
    </w:p>
    <w:p w:rsidR="00A01EAC" w:rsidRPr="0060445A" w:rsidRDefault="00A01EAC" w:rsidP="00A01EAC">
      <w:pPr>
        <w:spacing w:after="0"/>
        <w:rPr>
          <w:rFonts w:ascii="Arial" w:hAnsi="Arial" w:cs="Arial"/>
          <w:shd w:val="clear" w:color="auto" w:fill="FFFFFF"/>
        </w:rPr>
      </w:pPr>
      <w:r w:rsidRPr="0060445A">
        <w:rPr>
          <w:rFonts w:ascii="Arial" w:hAnsi="Arial" w:cs="Arial"/>
          <w:shd w:val="clear" w:color="auto" w:fill="FFFFFF"/>
        </w:rPr>
        <w:t xml:space="preserve">              standard antimicrobial guidelines</w:t>
      </w:r>
    </w:p>
    <w:tbl>
      <w:tblPr>
        <w:tblStyle w:val="TableGrid"/>
        <w:tblpPr w:leftFromText="180" w:rightFromText="180" w:vertAnchor="page" w:horzAnchor="margin" w:tblpX="-95" w:tblpY="2251"/>
        <w:tblW w:w="13045" w:type="dxa"/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810"/>
        <w:gridCol w:w="810"/>
        <w:gridCol w:w="810"/>
        <w:gridCol w:w="810"/>
        <w:gridCol w:w="810"/>
        <w:gridCol w:w="810"/>
        <w:gridCol w:w="810"/>
        <w:gridCol w:w="818"/>
        <w:gridCol w:w="977"/>
        <w:gridCol w:w="810"/>
        <w:gridCol w:w="810"/>
      </w:tblGrid>
      <w:tr w:rsidR="00A01EAC" w:rsidRPr="0060445A" w:rsidTr="002E241B">
        <w:tc>
          <w:tcPr>
            <w:tcW w:w="3240" w:type="dxa"/>
            <w:vMerge w:val="restart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Syndromes</w:t>
            </w:r>
          </w:p>
        </w:tc>
        <w:tc>
          <w:tcPr>
            <w:tcW w:w="1530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Residents vs AAP/IDSA </w:t>
            </w:r>
          </w:p>
        </w:tc>
        <w:tc>
          <w:tcPr>
            <w:tcW w:w="1620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Residents vs BSAC/NICE/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BPAIIG</w:t>
            </w:r>
          </w:p>
        </w:tc>
        <w:tc>
          <w:tcPr>
            <w:tcW w:w="1620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Residents vs ESCMID/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EAU/ESPU</w:t>
            </w:r>
          </w:p>
        </w:tc>
        <w:tc>
          <w:tcPr>
            <w:tcW w:w="1620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Pediatricians vs AAP/IDSA </w:t>
            </w:r>
          </w:p>
        </w:tc>
        <w:tc>
          <w:tcPr>
            <w:tcW w:w="1795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Pediatricians vs BSAC/NICE/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BPAIIG</w:t>
            </w:r>
          </w:p>
        </w:tc>
        <w:tc>
          <w:tcPr>
            <w:tcW w:w="1620" w:type="dxa"/>
            <w:gridSpan w:val="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Pediatricians vs ESCMID/EAU/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ESPU</w:t>
            </w:r>
          </w:p>
        </w:tc>
      </w:tr>
      <w:tr w:rsidR="00A01EAC" w:rsidRPr="0060445A" w:rsidTr="002E241B">
        <w:tc>
          <w:tcPr>
            <w:tcW w:w="3240" w:type="dxa"/>
            <w:vMerge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5" w:type="dxa"/>
            <w:gridSpan w:val="12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of prescribers suggesting e</w:t>
            </w:r>
            <w:r w:rsidRPr="0060445A">
              <w:rPr>
                <w:rFonts w:ascii="Arial" w:hAnsi="Arial" w:cs="Arial"/>
                <w:sz w:val="20"/>
                <w:szCs w:val="20"/>
              </w:rPr>
              <w:t>xcess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and % suggesting deficit days 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respectively </w:t>
            </w:r>
            <w:r>
              <w:rPr>
                <w:rFonts w:ascii="Arial" w:hAnsi="Arial" w:cs="Arial"/>
                <w:sz w:val="20"/>
                <w:szCs w:val="20"/>
              </w:rPr>
              <w:t>from total respondents</w:t>
            </w:r>
          </w:p>
        </w:tc>
      </w:tr>
      <w:tr w:rsidR="00A01EAC" w:rsidRPr="0060445A" w:rsidTr="002E241B">
        <w:tc>
          <w:tcPr>
            <w:tcW w:w="3240" w:type="dxa"/>
            <w:vMerge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Min 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Pneumococcal meningitis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8.9, 8.8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8.9, 8.8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8.9, 8.8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5.0,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0, 95.0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5.0,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hAnsi="Arial" w:cs="Arial"/>
                <w:i/>
                <w:sz w:val="20"/>
                <w:szCs w:val="20"/>
              </w:rPr>
              <w:t>emophilus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influenzae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 meningitis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33.4, 16.7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24.4, 20.0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33.4, 16.7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24.4, 20.0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33.4, 16.7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24.4, 20.0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15.0, 12.5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18.4, 7.9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2.5, 85.0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18.4, 7.9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15.0, 12.5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18.4, 7.9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Meningococcal meningitis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42.2, 0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42.2, 0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42.2, 0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20.5, 0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29.0, 0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10.2, 79.5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29.0,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10.2, 79.5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29.0,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Herpes Simplex Virus</w:t>
            </w:r>
            <w:r w:rsidRPr="0060445A">
              <w:rPr>
                <w:rFonts w:ascii="Arial" w:hAnsi="Arial" w:cs="Arial"/>
                <w:sz w:val="20"/>
                <w:szCs w:val="20"/>
              </w:rPr>
              <w:t xml:space="preserve"> encephalitis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26.8, 48.8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16.6, 44.4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26.8, 48.8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16.6, 44.4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26.8, 48.8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16.6, 44.4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18.0, 25.6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11.1, 27.8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18.0, 25.6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11.1, 27.8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18.0, 25.6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11.1, 27.8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Brain abscess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6.6, 82.7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4.8, 88.1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6.6, 82.7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23.8, 19.1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7.8, 89.5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5.3, 81.6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7.8, 89.5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23.8, 15.8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Ventriculo</w:t>
            </w:r>
            <w:r w:rsidRPr="0060445A">
              <w:rPr>
                <w:rFonts w:ascii="Arial" w:hAnsi="Arial" w:cs="Arial"/>
                <w:sz w:val="20"/>
                <w:szCs w:val="20"/>
              </w:rPr>
              <w:t>peritoneal shunt infections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63.4, 17.1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38.9, 36.1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84.8, 3.0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60.0, 16.7</w:t>
            </w:r>
          </w:p>
        </w:tc>
        <w:tc>
          <w:tcPr>
            <w:tcW w:w="3415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otitis media (Amoxicillin)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79.1, 4.2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21.7, 21.7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79.1, 4.2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21.7, 21.7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92.5, 0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21.1, 5.3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92.5, 0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94.7,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Tonsillopharyngitis (Amoxicillin)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0, 78.7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11.1, 28.9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68.1, 0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11.1, 28.9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0, 78.7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11.1, 28.9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0, 64.1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13.5, 18.9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82.1, 0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13.5, 18.9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0, 64.1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13.5, 18.9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Bacterial conjunctivitis (Azithro</w:t>
            </w:r>
            <w:r>
              <w:rPr>
                <w:rFonts w:ascii="Arial" w:hAnsi="Arial" w:cs="Arial"/>
                <w:sz w:val="20"/>
                <w:szCs w:val="20"/>
              </w:rPr>
              <w:t>mycin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93.0, 0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97.1, 0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3415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Community acquired Pneumonia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51.1, 11.1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88.9, 0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50.0, 2.5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56.5, 10.3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50.0, 2.5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89.7,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Hospital acquired Pneumonia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68.8, 6.3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95.7, 0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93.7, 0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68.8, 6.3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95.7, 4.3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62.5, 2.5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95.0, 0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97.5, 0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100.0,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62.5, 2.5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95.0, 5.0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Ventilator associated Pneumonia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84.1, 0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1620" w:type="dxa"/>
            <w:gridSpan w:val="2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84.1, 0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92.5, 0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1795" w:type="dxa"/>
            <w:gridSpan w:val="2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92.5, 0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Endocarditis (native valve, bact</w:t>
            </w:r>
            <w:r>
              <w:rPr>
                <w:rFonts w:ascii="Arial" w:hAnsi="Arial" w:cs="Arial"/>
                <w:sz w:val="20"/>
                <w:szCs w:val="20"/>
              </w:rPr>
              <w:t>erial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22.1, 22.2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21.7, 19.5</w:t>
            </w:r>
          </w:p>
        </w:tc>
        <w:tc>
          <w:tcPr>
            <w:tcW w:w="1620" w:type="dxa"/>
            <w:gridSpan w:val="2"/>
            <w:vMerge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91.1, 0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21.7, 19.5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10.0, 30.0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15.0, 22.5</w:t>
            </w:r>
          </w:p>
        </w:tc>
        <w:tc>
          <w:tcPr>
            <w:tcW w:w="1795" w:type="dxa"/>
            <w:gridSpan w:val="2"/>
            <w:vMerge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15.0, 22.5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lastRenderedPageBreak/>
              <w:t xml:space="preserve">Endocarditis (native valve, 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</w:t>
            </w:r>
            <w:r>
              <w:rPr>
                <w:rFonts w:ascii="Arial" w:hAnsi="Arial" w:cs="Arial"/>
                <w:i/>
                <w:sz w:val="20"/>
                <w:szCs w:val="20"/>
              </w:rPr>
              <w:t>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4.6, 67.5</w:t>
            </w:r>
          </w:p>
        </w:tc>
        <w:tc>
          <w:tcPr>
            <w:tcW w:w="2430" w:type="dxa"/>
            <w:gridSpan w:val="3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4.6, 67.5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5.2, 51.3</w:t>
            </w:r>
          </w:p>
        </w:tc>
        <w:tc>
          <w:tcPr>
            <w:tcW w:w="2605" w:type="dxa"/>
            <w:gridSpan w:val="3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5.2, 51.3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BSIs (bacterial)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55.9, 14.7</w:t>
            </w:r>
          </w:p>
        </w:tc>
        <w:tc>
          <w:tcPr>
            <w:tcW w:w="3240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38.2, 14.7</w:t>
            </w:r>
          </w:p>
        </w:tc>
        <w:tc>
          <w:tcPr>
            <w:tcW w:w="3415" w:type="dxa"/>
            <w:gridSpan w:val="4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Central line BSIs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Candida</w:t>
            </w:r>
            <w:r w:rsidRPr="0060445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54.7, 8.6</w:t>
            </w:r>
          </w:p>
        </w:tc>
        <w:tc>
          <w:tcPr>
            <w:tcW w:w="2430" w:type="dxa"/>
            <w:gridSpan w:val="3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54.7, 8.6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27.7, 16.7</w:t>
            </w:r>
          </w:p>
        </w:tc>
        <w:tc>
          <w:tcPr>
            <w:tcW w:w="2605" w:type="dxa"/>
            <w:gridSpan w:val="3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27.7, 16.7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Esophagitis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Cand</w:t>
            </w:r>
            <w:r>
              <w:rPr>
                <w:rFonts w:ascii="Arial" w:hAnsi="Arial" w:cs="Arial"/>
                <w:i/>
                <w:sz w:val="20"/>
                <w:szCs w:val="20"/>
              </w:rPr>
              <w:t>ida</w:t>
            </w:r>
            <w:r w:rsidRPr="0060445A">
              <w:rPr>
                <w:rFonts w:ascii="Arial" w:hAnsi="Arial" w:cs="Arial"/>
                <w:sz w:val="20"/>
                <w:szCs w:val="20"/>
              </w:rPr>
              <w:t>, Fluco</w:t>
            </w:r>
            <w:r>
              <w:rPr>
                <w:rFonts w:ascii="Arial" w:hAnsi="Arial" w:cs="Arial"/>
                <w:sz w:val="20"/>
                <w:szCs w:val="20"/>
              </w:rPr>
              <w:t>-naz</w:t>
            </w:r>
            <w:r w:rsidRPr="0060445A">
              <w:rPr>
                <w:rFonts w:ascii="Arial" w:hAnsi="Arial" w:cs="Arial"/>
                <w:sz w:val="20"/>
                <w:szCs w:val="20"/>
              </w:rPr>
              <w:t>ole) in children living with HIV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20.5, 30.8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18.2, 36.3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20.5, 30.8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18.2, 36.3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20.5, 30.8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18.2, 36.3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16.2, 27.0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16.7, 27.7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16.2, 27.0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16.7, 27.7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16.2, 27.0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16.7, 27.7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pyelonephritis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40.4, 10.7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0, 43.2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40.4, 10.7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56.8, 2.3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40.4, 10.7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0, 43.2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48.7, 2.6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0, 44.7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48.7, 2.6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55.3, 2.6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48.7, 2.6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0, 44.7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cystitis</w:t>
            </w:r>
          </w:p>
        </w:tc>
        <w:tc>
          <w:tcPr>
            <w:tcW w:w="153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91.3, 2.2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91.3, 2.2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100.0, 0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79.0, 2.6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100.0,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79.0, 2.6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100.0,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Cellulitis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80.0, 0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80.0, 0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80.5, 0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74.4, 0</w:t>
            </w:r>
          </w:p>
        </w:tc>
        <w:tc>
          <w:tcPr>
            <w:tcW w:w="810" w:type="dxa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74.4, 0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 xml:space="preserve">78.4, </w:t>
            </w:r>
          </w:p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Pyomyositis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11.7, 55.9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12.1, 51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11.7, 55.9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0, 97.6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14.3, 57.2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18.2, 45.4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14.3, 57.2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0, 100.0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Acute non-vertebral osteomyelitis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9.6, 54.8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12.8, 38.4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9.6, 54.8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12.8, 38.4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45.3, 16.7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12.8, 38.4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5.4, 67.6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8.1, 51.3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5.4, 67.6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8.1, 51.3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5.4, 67.6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8.1, 51.3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Non-gonococcal septic arthritis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81.9, 4.5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16.7, 40.4</w:t>
            </w:r>
          </w:p>
        </w:tc>
        <w:tc>
          <w:tcPr>
            <w:tcW w:w="1620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81.9, 4.5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83.4, 7.1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52.6, 15.8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7.8, 81.7</w:t>
            </w:r>
          </w:p>
        </w:tc>
        <w:tc>
          <w:tcPr>
            <w:tcW w:w="1795" w:type="dxa"/>
            <w:gridSpan w:val="2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52.6, 15.8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7.8, 81.7</w:t>
            </w: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lasmodium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falciparum</w:t>
            </w:r>
            <w:r w:rsidRPr="0060445A">
              <w:rPr>
                <w:rFonts w:ascii="Arial" w:hAnsi="Arial" w:cs="Arial"/>
                <w:sz w:val="20"/>
                <w:szCs w:val="20"/>
              </w:rPr>
              <w:t>, Artemether-Lumefantrine)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9.1, 2.3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34.9, 0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9.1, 2.3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34.9, 0</w:t>
            </w:r>
          </w:p>
        </w:tc>
        <w:tc>
          <w:tcPr>
            <w:tcW w:w="1620" w:type="dxa"/>
            <w:gridSpan w:val="2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15.8, 2.6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38.5, 0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15.8, 2.6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38.5, 0</w:t>
            </w:r>
          </w:p>
        </w:tc>
        <w:tc>
          <w:tcPr>
            <w:tcW w:w="1620" w:type="dxa"/>
            <w:gridSpan w:val="2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Malaria (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lasmodium</w:t>
            </w:r>
            <w:r w:rsidRPr="0060445A">
              <w:rPr>
                <w:rFonts w:ascii="Arial" w:hAnsi="Arial" w:cs="Arial"/>
                <w:i/>
                <w:sz w:val="20"/>
                <w:szCs w:val="20"/>
              </w:rPr>
              <w:t xml:space="preserve"> vivax</w:t>
            </w:r>
            <w:r w:rsidRPr="0060445A">
              <w:rPr>
                <w:rFonts w:ascii="Arial" w:hAnsi="Arial" w:cs="Arial"/>
                <w:sz w:val="20"/>
                <w:szCs w:val="20"/>
              </w:rPr>
              <w:t>, Chloroquine)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34.2, 2.6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52.6, 0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34.2, 2.6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52.6, 0</w:t>
            </w:r>
          </w:p>
        </w:tc>
        <w:tc>
          <w:tcPr>
            <w:tcW w:w="1620" w:type="dxa"/>
            <w:gridSpan w:val="2"/>
            <w:vMerge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14.7, 2.9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29.4, 0</w:t>
            </w:r>
          </w:p>
        </w:tc>
        <w:tc>
          <w:tcPr>
            <w:tcW w:w="818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14.7, 2.9</w:t>
            </w:r>
          </w:p>
        </w:tc>
        <w:tc>
          <w:tcPr>
            <w:tcW w:w="977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29.4, 0</w:t>
            </w:r>
          </w:p>
        </w:tc>
        <w:tc>
          <w:tcPr>
            <w:tcW w:w="1620" w:type="dxa"/>
            <w:gridSpan w:val="2"/>
            <w:vMerge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Amebiasis (Metronidazole)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6.5, 52.2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5.1, 51.3</w:t>
            </w:r>
          </w:p>
        </w:tc>
        <w:tc>
          <w:tcPr>
            <w:tcW w:w="3240" w:type="dxa"/>
            <w:gridSpan w:val="4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7.5, 35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0, 36.1</w:t>
            </w:r>
          </w:p>
        </w:tc>
        <w:tc>
          <w:tcPr>
            <w:tcW w:w="3415" w:type="dxa"/>
            <w:gridSpan w:val="4"/>
            <w:vMerge w:val="restart"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324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Giardiasis (Metronidazole)</w:t>
            </w:r>
          </w:p>
        </w:tc>
        <w:tc>
          <w:tcPr>
            <w:tcW w:w="72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27.7, 10.6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25.0, 14.0</w:t>
            </w:r>
          </w:p>
        </w:tc>
        <w:tc>
          <w:tcPr>
            <w:tcW w:w="3240" w:type="dxa"/>
            <w:gridSpan w:val="4"/>
            <w:vMerge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17.9, 15.4</w:t>
            </w:r>
          </w:p>
        </w:tc>
        <w:tc>
          <w:tcPr>
            <w:tcW w:w="810" w:type="dxa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13.5, 27.0</w:t>
            </w:r>
          </w:p>
        </w:tc>
        <w:tc>
          <w:tcPr>
            <w:tcW w:w="3415" w:type="dxa"/>
            <w:gridSpan w:val="4"/>
            <w:vMerge/>
            <w:shd w:val="clear" w:color="auto" w:fill="7F7F7F" w:themeFill="text1" w:themeFillTint="80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AC" w:rsidRPr="0060445A" w:rsidTr="002E241B">
        <w:tc>
          <w:tcPr>
            <w:tcW w:w="13045" w:type="dxa"/>
            <w:gridSpan w:val="13"/>
          </w:tcPr>
          <w:p w:rsidR="00A01EAC" w:rsidRPr="0060445A" w:rsidRDefault="00A01EAC" w:rsidP="002E241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445A">
              <w:rPr>
                <w:rFonts w:ascii="Arial" w:hAnsi="Arial" w:cs="Arial"/>
                <w:sz w:val="20"/>
                <w:szCs w:val="20"/>
              </w:rPr>
              <w:t>Key: HIV</w:t>
            </w:r>
            <w:r>
              <w:rPr>
                <w:rFonts w:ascii="Arial" w:hAnsi="Arial" w:cs="Arial"/>
                <w:sz w:val="20"/>
                <w:szCs w:val="20"/>
              </w:rPr>
              <w:t>: Human immunodeficiency virus</w:t>
            </w:r>
          </w:p>
        </w:tc>
      </w:tr>
    </w:tbl>
    <w:p w:rsidR="0051399E" w:rsidRDefault="0051399E">
      <w:bookmarkStart w:id="0" w:name="_GoBack"/>
      <w:bookmarkEnd w:id="0"/>
    </w:p>
    <w:sectPr w:rsidR="0051399E" w:rsidSect="00A01EA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C"/>
    <w:rsid w:val="0051399E"/>
    <w:rsid w:val="00A0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E16D0-FC49-4550-8175-C5769B42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Tinsae Dr. Alemayehu</dc:creator>
  <cp:keywords/>
  <dc:description/>
  <cp:lastModifiedBy>Tinsae Dr. Alemayehu</cp:lastModifiedBy>
  <cp:revision>1</cp:revision>
  <dcterms:created xsi:type="dcterms:W3CDTF">2022-06-08T12:21:00Z</dcterms:created>
  <dcterms:modified xsi:type="dcterms:W3CDTF">2022-06-08T12:22:00Z</dcterms:modified>
</cp:coreProperties>
</file>