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EC" w:rsidRPr="0060445A" w:rsidRDefault="005B78EC" w:rsidP="005B78EC">
      <w:pPr>
        <w:rPr>
          <w:rFonts w:ascii="Arial" w:hAnsi="Arial" w:cs="Arial"/>
          <w:b/>
          <w:sz w:val="18"/>
          <w:szCs w:val="18"/>
        </w:rPr>
      </w:pPr>
      <w:r w:rsidRPr="0060445A">
        <w:rPr>
          <w:rFonts w:ascii="Arial" w:hAnsi="Arial" w:cs="Arial"/>
          <w:shd w:val="clear" w:color="auto" w:fill="FFFFFF"/>
        </w:rPr>
        <w:t>Tabl</w:t>
      </w:r>
      <w:r>
        <w:rPr>
          <w:rFonts w:ascii="Arial" w:hAnsi="Arial" w:cs="Arial"/>
          <w:shd w:val="clear" w:color="auto" w:fill="FFFFFF"/>
        </w:rPr>
        <w:t>e 2</w:t>
      </w:r>
      <w:r w:rsidRPr="0060445A">
        <w:rPr>
          <w:rFonts w:ascii="Arial" w:hAnsi="Arial" w:cs="Arial"/>
          <w:shd w:val="clear" w:color="auto" w:fill="FFFFFF"/>
        </w:rPr>
        <w:t>:</w:t>
      </w:r>
      <w:r>
        <w:rPr>
          <w:rFonts w:ascii="Arial" w:hAnsi="Arial" w:cs="Arial"/>
          <w:shd w:val="clear" w:color="auto" w:fill="FFFFFF"/>
        </w:rPr>
        <w:t xml:space="preserve"> Mean minimum and maximum days of antimicrobial course recommended by the study population for each infection</w:t>
      </w:r>
      <w:r w:rsidRPr="0060445A">
        <w:rPr>
          <w:rFonts w:ascii="Arial" w:hAnsi="Arial" w:cs="Arial"/>
          <w:szCs w:val="18"/>
        </w:rPr>
        <w:t xml:space="preserve"> </w:t>
      </w:r>
    </w:p>
    <w:tbl>
      <w:tblPr>
        <w:tblStyle w:val="TableGrid"/>
        <w:tblW w:w="1332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3690"/>
        <w:gridCol w:w="540"/>
        <w:gridCol w:w="630"/>
        <w:gridCol w:w="540"/>
        <w:gridCol w:w="630"/>
        <w:gridCol w:w="540"/>
        <w:gridCol w:w="630"/>
        <w:gridCol w:w="1530"/>
        <w:gridCol w:w="1530"/>
        <w:gridCol w:w="1530"/>
        <w:gridCol w:w="1530"/>
      </w:tblGrid>
      <w:tr w:rsidR="005B78EC" w:rsidRPr="0060445A" w:rsidTr="002E241B">
        <w:tc>
          <w:tcPr>
            <w:tcW w:w="3690" w:type="dxa"/>
            <w:vMerge w:val="restart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Syndromes</w:t>
            </w:r>
          </w:p>
        </w:tc>
        <w:tc>
          <w:tcPr>
            <w:tcW w:w="1170" w:type="dxa"/>
            <w:gridSpan w:val="2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U.S. </w:t>
            </w:r>
            <w:r w:rsidRPr="0060445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70" w:type="dxa"/>
            <w:gridSpan w:val="2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U.K. </w:t>
            </w:r>
            <w:r w:rsidRPr="0060445A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70" w:type="dxa"/>
            <w:gridSpan w:val="2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E.U. </w:t>
            </w:r>
            <w:r w:rsidRPr="0060445A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060" w:type="dxa"/>
            <w:gridSpan w:val="2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Pediatric residents (n = 48)</w:t>
            </w:r>
          </w:p>
        </w:tc>
        <w:tc>
          <w:tcPr>
            <w:tcW w:w="3060" w:type="dxa"/>
            <w:gridSpan w:val="2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Pediatricians (n = 40)</w:t>
            </w:r>
          </w:p>
        </w:tc>
      </w:tr>
      <w:tr w:rsidR="005B78EC" w:rsidRPr="0060445A" w:rsidTr="002E241B">
        <w:tc>
          <w:tcPr>
            <w:tcW w:w="3690" w:type="dxa"/>
            <w:vMerge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1530" w:type="dxa"/>
          </w:tcPr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Mean for mini</w:t>
            </w:r>
            <w:r>
              <w:rPr>
                <w:rFonts w:ascii="Arial" w:hAnsi="Arial" w:cs="Arial"/>
                <w:sz w:val="18"/>
                <w:szCs w:val="20"/>
              </w:rPr>
              <w:t>-</w:t>
            </w:r>
            <w:r w:rsidRPr="002B45C6">
              <w:rPr>
                <w:rFonts w:ascii="Arial" w:hAnsi="Arial" w:cs="Arial"/>
                <w:sz w:val="18"/>
                <w:szCs w:val="20"/>
              </w:rPr>
              <w:t>mum duration</w:t>
            </w:r>
          </w:p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(range) (n)</w:t>
            </w:r>
          </w:p>
        </w:tc>
        <w:tc>
          <w:tcPr>
            <w:tcW w:w="1530" w:type="dxa"/>
          </w:tcPr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Mean for m</w:t>
            </w:r>
            <w:r>
              <w:rPr>
                <w:rFonts w:ascii="Arial" w:hAnsi="Arial" w:cs="Arial"/>
                <w:sz w:val="18"/>
                <w:szCs w:val="20"/>
              </w:rPr>
              <w:t>ax</w:t>
            </w:r>
            <w:r w:rsidRPr="002B45C6">
              <w:rPr>
                <w:rFonts w:ascii="Arial" w:hAnsi="Arial" w:cs="Arial"/>
                <w:sz w:val="18"/>
                <w:szCs w:val="20"/>
              </w:rPr>
              <w:t>i</w:t>
            </w:r>
            <w:r>
              <w:rPr>
                <w:rFonts w:ascii="Arial" w:hAnsi="Arial" w:cs="Arial"/>
                <w:sz w:val="18"/>
                <w:szCs w:val="20"/>
              </w:rPr>
              <w:t>-</w:t>
            </w:r>
            <w:r w:rsidRPr="002B45C6">
              <w:rPr>
                <w:rFonts w:ascii="Arial" w:hAnsi="Arial" w:cs="Arial"/>
                <w:sz w:val="18"/>
                <w:szCs w:val="20"/>
              </w:rPr>
              <w:t>mum duration</w:t>
            </w:r>
          </w:p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(range) (n)</w:t>
            </w:r>
          </w:p>
        </w:tc>
        <w:tc>
          <w:tcPr>
            <w:tcW w:w="1530" w:type="dxa"/>
          </w:tcPr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Mean for mini</w:t>
            </w:r>
            <w:r>
              <w:rPr>
                <w:rFonts w:ascii="Arial" w:hAnsi="Arial" w:cs="Arial"/>
                <w:sz w:val="18"/>
                <w:szCs w:val="20"/>
              </w:rPr>
              <w:t>-</w:t>
            </w:r>
            <w:r w:rsidRPr="002B45C6">
              <w:rPr>
                <w:rFonts w:ascii="Arial" w:hAnsi="Arial" w:cs="Arial"/>
                <w:sz w:val="18"/>
                <w:szCs w:val="20"/>
              </w:rPr>
              <w:t>mum duration</w:t>
            </w:r>
          </w:p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(range) (n)</w:t>
            </w:r>
          </w:p>
        </w:tc>
        <w:tc>
          <w:tcPr>
            <w:tcW w:w="1530" w:type="dxa"/>
          </w:tcPr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Mean for m</w:t>
            </w:r>
            <w:r>
              <w:rPr>
                <w:rFonts w:ascii="Arial" w:hAnsi="Arial" w:cs="Arial"/>
                <w:sz w:val="18"/>
                <w:szCs w:val="20"/>
              </w:rPr>
              <w:t>ax</w:t>
            </w:r>
            <w:r w:rsidRPr="002B45C6">
              <w:rPr>
                <w:rFonts w:ascii="Arial" w:hAnsi="Arial" w:cs="Arial"/>
                <w:sz w:val="18"/>
                <w:szCs w:val="20"/>
              </w:rPr>
              <w:t>i</w:t>
            </w:r>
            <w:r>
              <w:rPr>
                <w:rFonts w:ascii="Arial" w:hAnsi="Arial" w:cs="Arial"/>
                <w:sz w:val="18"/>
                <w:szCs w:val="20"/>
              </w:rPr>
              <w:t>-</w:t>
            </w:r>
            <w:r w:rsidRPr="002B45C6">
              <w:rPr>
                <w:rFonts w:ascii="Arial" w:hAnsi="Arial" w:cs="Arial"/>
                <w:sz w:val="18"/>
                <w:szCs w:val="20"/>
              </w:rPr>
              <w:t>mum duration</w:t>
            </w:r>
          </w:p>
          <w:p w:rsidR="005B78EC" w:rsidRPr="002B45C6" w:rsidRDefault="005B78EC" w:rsidP="002E241B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2B45C6">
              <w:rPr>
                <w:rFonts w:ascii="Arial" w:hAnsi="Arial" w:cs="Arial"/>
                <w:sz w:val="18"/>
                <w:szCs w:val="20"/>
              </w:rPr>
              <w:t>(range) (n)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Pneumococcal meningitis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E95">
              <w:rPr>
                <w:rFonts w:ascii="Arial" w:hAnsi="Arial" w:cs="Arial"/>
                <w:sz w:val="18"/>
                <w:szCs w:val="20"/>
              </w:rPr>
              <w:t>(Tunkel et al 2004, Van de beek et al 2016</w:t>
            </w:r>
            <w:r w:rsidRPr="00E16A9F">
              <w:rPr>
                <w:rFonts w:ascii="Arial" w:hAnsi="Arial" w:cs="Arial"/>
                <w:sz w:val="18"/>
                <w:szCs w:val="20"/>
              </w:rPr>
              <w:t xml:space="preserve">, </w:t>
            </w:r>
            <w:hyperlink r:id="rId4" w:history="1">
              <w:r w:rsidRPr="00E16A9F">
                <w:rPr>
                  <w:rStyle w:val="Hyperlink"/>
                  <w:rFonts w:ascii="Arial" w:hAnsi="Arial" w:cs="Arial"/>
                  <w:sz w:val="20"/>
                </w:rPr>
                <w:t>https://www.nice.org.uk/guidance/cg102</w:t>
              </w:r>
            </w:hyperlink>
            <w:r w:rsidRPr="00E16A9F">
              <w:rPr>
                <w:rFonts w:ascii="Arial" w:hAnsi="Arial" w:cs="Arial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10.3 (5,14)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14.1 (7,21)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10.1 (7,14)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13.9 (10,14)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39)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i/>
                <w:sz w:val="20"/>
                <w:szCs w:val="20"/>
              </w:rPr>
              <w:t>Hemophilus influenzae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 meningitis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16A9F">
              <w:rPr>
                <w:rFonts w:ascii="Arial" w:hAnsi="Arial" w:cs="Arial"/>
                <w:sz w:val="18"/>
                <w:szCs w:val="20"/>
              </w:rPr>
              <w:t xml:space="preserve">(Tunkel et al 2004, Van de beek et al 2016, </w:t>
            </w:r>
            <w:hyperlink r:id="rId5" w:history="1">
              <w:r w:rsidRPr="00E16A9F">
                <w:rPr>
                  <w:rStyle w:val="Hyperlink"/>
                  <w:rFonts w:ascii="Arial" w:hAnsi="Arial" w:cs="Arial"/>
                  <w:sz w:val="20"/>
                </w:rPr>
                <w:t>https://www.nice.org.uk/guidance/cg102</w:t>
              </w:r>
            </w:hyperlink>
            <w:r w:rsidRPr="00E16A9F">
              <w:rPr>
                <w:rFonts w:ascii="Arial" w:hAnsi="Arial" w:cs="Arial"/>
                <w:sz w:val="20"/>
              </w:rPr>
              <w:t>, Red book 2021</w:t>
            </w:r>
            <w:r w:rsidRPr="00E16A9F">
              <w:rPr>
                <w:rFonts w:ascii="Arial" w:hAnsi="Arial" w:cs="Arial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7.8 (5,14)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10.5 (7,21)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7.3 (5,14)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10.7 (7,21)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38)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Meningococcal meningitis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16A9F">
              <w:rPr>
                <w:rFonts w:ascii="Arial" w:hAnsi="Arial" w:cs="Arial"/>
                <w:sz w:val="18"/>
                <w:szCs w:val="20"/>
              </w:rPr>
              <w:t xml:space="preserve">(Tunkel et al 2004, Van de beek et al 2016, </w:t>
            </w:r>
            <w:hyperlink r:id="rId6" w:history="1">
              <w:r w:rsidRPr="00E16A9F">
                <w:rPr>
                  <w:rStyle w:val="Hyperlink"/>
                  <w:rFonts w:ascii="Arial" w:hAnsi="Arial" w:cs="Arial"/>
                  <w:sz w:val="20"/>
                </w:rPr>
                <w:t>https://www.nice.org.uk/guidance/cg102</w:t>
              </w:r>
            </w:hyperlink>
            <w:r w:rsidRPr="00E16A9F">
              <w:rPr>
                <w:rFonts w:ascii="Arial" w:hAnsi="Arial" w:cs="Arial"/>
                <w:sz w:val="20"/>
              </w:rPr>
              <w:t>, Red book 2021</w:t>
            </w:r>
            <w:r w:rsidRPr="00E16A9F">
              <w:rPr>
                <w:rFonts w:ascii="Arial" w:hAnsi="Arial" w:cs="Arial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7.2 (5,14)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11.4 (7,21)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5.9 (5,14)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9.2 (7,21)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38)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B67CDC" w:rsidRDefault="005B78EC" w:rsidP="002E241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Herpes Simplex Virus encephalitis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67CDC">
              <w:rPr>
                <w:rFonts w:ascii="Arial" w:hAnsi="Arial" w:cs="Arial"/>
                <w:color w:val="000000" w:themeColor="text1"/>
                <w:sz w:val="18"/>
                <w:szCs w:val="20"/>
              </w:rPr>
              <w:t>(Tunkel et al 2008, Kneen et al 2012, Stahl et al 2019)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13.5 (7,28) 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41)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19.4 (10,42)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13.9 (7,28)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19.7 (10,42)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36)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Brain abscess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2C13">
              <w:rPr>
                <w:rFonts w:ascii="Arial" w:hAnsi="Arial" w:cs="Arial"/>
                <w:sz w:val="18"/>
                <w:szCs w:val="20"/>
              </w:rPr>
              <w:t>(Weinberg 2018, Sonneville et al 2017)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70" w:type="dxa"/>
            <w:gridSpan w:val="2"/>
            <w:vMerge w:val="restart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30.9 (7,120)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46.7 (10,180)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42)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30.6 (7,120)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48.6 (10,180)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38)</w:t>
            </w:r>
          </w:p>
        </w:tc>
      </w:tr>
      <w:tr w:rsidR="005B78EC" w:rsidRPr="0060445A" w:rsidTr="002E241B">
        <w:trPr>
          <w:trHeight w:val="485"/>
        </w:trPr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Ventriculo</w:t>
            </w:r>
            <w:r w:rsidRPr="0060445A">
              <w:rPr>
                <w:rFonts w:ascii="Arial" w:hAnsi="Arial" w:cs="Arial"/>
                <w:sz w:val="20"/>
                <w:szCs w:val="20"/>
              </w:rPr>
              <w:t>peritoneal shunt infections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34D6">
              <w:rPr>
                <w:rFonts w:ascii="Arial" w:hAnsi="Arial" w:cs="Arial"/>
                <w:sz w:val="18"/>
                <w:szCs w:val="20"/>
              </w:rPr>
              <w:t>(Tunkel et al 2015)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70" w:type="dxa"/>
            <w:gridSpan w:val="2"/>
            <w:vMerge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17.4 (7,60)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41)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25.7 (10,90)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20 (7,60)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27.9 (10,90)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(30)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otitis media (Amoxicillin)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17"/>
                <w:szCs w:val="17"/>
              </w:rPr>
              <w:t xml:space="preserve">Lieberthal et al 2013, </w:t>
            </w:r>
            <w:hyperlink r:id="rId7" w:history="1">
              <w:r w:rsidRPr="00982BA5">
                <w:rPr>
                  <w:rStyle w:val="Hyperlink"/>
                  <w:sz w:val="20"/>
                </w:rPr>
                <w:t>https://www.nice.org.uk/guidance/ng91</w:t>
              </w:r>
            </w:hyperlink>
            <w:r w:rsidRPr="00982BA5">
              <w:rPr>
                <w:rFonts w:ascii="Arial" w:hAnsi="Arial" w:cs="Arial"/>
                <w:sz w:val="16"/>
                <w:szCs w:val="17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7.5 (3,14)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10.2 (7,14)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8.4 (5,14)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10.7 (7,14)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38)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Tonsillopharyngitis (Amoxicillin)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63B6">
              <w:rPr>
                <w:rFonts w:ascii="Arial" w:hAnsi="Arial" w:cs="Arial"/>
                <w:sz w:val="18"/>
                <w:szCs w:val="20"/>
              </w:rPr>
              <w:t xml:space="preserve">(Shulman et al 2012, Pelucchi et al 2012, </w:t>
            </w:r>
            <w:hyperlink r:id="rId8" w:history="1">
              <w:r w:rsidRPr="009163B6">
                <w:rPr>
                  <w:rStyle w:val="Hyperlink"/>
                  <w:sz w:val="20"/>
                </w:rPr>
                <w:t>https://www.nice.org.uk/guidance/ng84</w:t>
              </w:r>
            </w:hyperlink>
            <w:r w:rsidRPr="009163B6">
              <w:rPr>
                <w:sz w:val="20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 (5,10)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47)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9.6 (7,14)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45)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7.7 (5,10)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9.9 (7,14)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(n = 37)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Acute bacterial conjunctivitis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(Azithromycin)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C32AB">
              <w:rPr>
                <w:rFonts w:ascii="Arial" w:hAnsi="Arial" w:cs="Arial"/>
                <w:sz w:val="18"/>
                <w:szCs w:val="20"/>
              </w:rPr>
              <w:t>(Varu</w:t>
            </w:r>
            <w:r w:rsidRPr="00EC32AB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  <w:r w:rsidRPr="00EC32AB">
              <w:rPr>
                <w:rFonts w:ascii="Arial" w:hAnsi="Arial" w:cs="Arial"/>
                <w:sz w:val="18"/>
                <w:szCs w:val="20"/>
              </w:rPr>
              <w:t>et al 2019)</w:t>
            </w:r>
          </w:p>
        </w:tc>
        <w:tc>
          <w:tcPr>
            <w:tcW w:w="1170" w:type="dxa"/>
            <w:gridSpan w:val="2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19"/>
                <w:szCs w:val="19"/>
              </w:rPr>
            </w:pPr>
            <w:r w:rsidRPr="0060445A">
              <w:rPr>
                <w:rFonts w:ascii="Arial" w:hAnsi="Arial" w:cs="Arial"/>
                <w:sz w:val="19"/>
                <w:szCs w:val="19"/>
              </w:rPr>
              <w:t>Single dose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3.7 (1,7)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5.5 (3,10)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3.6 (1,7)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5.3 (3,10)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30)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lastRenderedPageBreak/>
              <w:t>Community acquired Pneumonia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6D4F">
              <w:rPr>
                <w:rFonts w:ascii="Arial" w:hAnsi="Arial" w:cs="Arial"/>
                <w:sz w:val="18"/>
                <w:szCs w:val="18"/>
              </w:rPr>
              <w:t xml:space="preserve">(Bradley et al 2011, Messinger et al 2017, </w:t>
            </w:r>
            <w:hyperlink r:id="rId9" w:history="1">
              <w:r w:rsidRPr="00FF6D4F">
                <w:rPr>
                  <w:rStyle w:val="Hyperlink"/>
                  <w:sz w:val="18"/>
                  <w:szCs w:val="18"/>
                </w:rPr>
                <w:t>https://www.nice.org.uk/guidance/ng138</w:t>
              </w:r>
            </w:hyperlink>
            <w:r w:rsidRPr="00FF6D4F">
              <w:rPr>
                <w:sz w:val="18"/>
                <w:szCs w:val="18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6 (3,10)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8.7 (5,14)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6.1 (3,10)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8.9 (5,14)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Hospital acquired Pneumonia</w:t>
            </w:r>
            <w:r w:rsidRPr="00FE4119">
              <w:rPr>
                <w:rFonts w:ascii="Arial" w:hAnsi="Arial" w:cs="Arial"/>
                <w:sz w:val="18"/>
                <w:szCs w:val="20"/>
              </w:rPr>
              <w:t xml:space="preserve"> (Kalil et al 2016, Torres et al 2017, </w:t>
            </w:r>
            <w:hyperlink r:id="rId10" w:history="1">
              <w:r w:rsidRPr="00FE4119">
                <w:rPr>
                  <w:rStyle w:val="Hyperlink"/>
                  <w:sz w:val="20"/>
                </w:rPr>
                <w:t>https://www.nice.org.uk/guidance/NG139</w:t>
              </w:r>
            </w:hyperlink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8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9.2 (5,14)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12.9 (7,21)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9.1 (5,14)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12.6 (7,21)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40)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Ventilator associated Pneumonia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0A95">
              <w:rPr>
                <w:rFonts w:ascii="Arial" w:hAnsi="Arial" w:cs="Arial"/>
                <w:sz w:val="18"/>
                <w:szCs w:val="18"/>
              </w:rPr>
              <w:t>(Kalil et al 2016, Torres et al 2017)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10.7 (7,21)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44)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14.7 (10,28)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11.4 (7,21)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14.9 (10,28)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Endocarditis </w:t>
            </w:r>
            <w:r w:rsidRPr="0060445A">
              <w:rPr>
                <w:rFonts w:ascii="Arial" w:hAnsi="Arial" w:cs="Arial"/>
                <w:sz w:val="20"/>
                <w:szCs w:val="20"/>
              </w:rPr>
              <w:t>(native valve, bacterial)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1552">
              <w:rPr>
                <w:rFonts w:ascii="Arial" w:hAnsi="Arial" w:cs="Arial"/>
                <w:sz w:val="18"/>
                <w:szCs w:val="20"/>
              </w:rPr>
              <w:t>(Baltimore et al 2015, Habib et al 2015)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28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70" w:type="dxa"/>
            <w:gridSpan w:val="2"/>
            <w:vMerge w:val="restart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30.4 (14,120)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(n = 45)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47.2 (21,180)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(n = 46)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29.9 (14,120)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46.6 (21,180)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 w:rsidRPr="0060445A">
              <w:rPr>
                <w:rFonts w:ascii="Arial" w:hAnsi="Arial" w:cs="Arial"/>
                <w:color w:val="000000" w:themeColor="text1"/>
                <w:sz w:val="20"/>
                <w:szCs w:val="18"/>
              </w:rPr>
              <w:t>(n = 40)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Endocarditis (native valve, 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Candida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27EC">
              <w:rPr>
                <w:rFonts w:ascii="Arial" w:hAnsi="Arial" w:cs="Arial"/>
                <w:sz w:val="18"/>
                <w:szCs w:val="20"/>
              </w:rPr>
              <w:t>(Habib et al 2015, Pappas et al 2015)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Merge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36.6 (14,180)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48.4 (21,180)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38.9 (14,180)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45.1 (21,180)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26)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Central line blood-stream infections (bacterial)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C19">
              <w:rPr>
                <w:rFonts w:ascii="Arial" w:hAnsi="Arial" w:cs="Arial"/>
                <w:sz w:val="18"/>
                <w:szCs w:val="20"/>
              </w:rPr>
              <w:t>(Mermel et al 2009)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70" w:type="dxa"/>
            <w:gridSpan w:val="2"/>
            <w:vMerge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7.8 (7,42)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37)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27.1 (10,72)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34)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4.2 (7,42)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21.7 (10,72)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34)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Central line blood-stream infections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Candida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6C19">
              <w:rPr>
                <w:rFonts w:ascii="Arial" w:hAnsi="Arial" w:cs="Arial"/>
                <w:sz w:val="18"/>
                <w:szCs w:val="20"/>
              </w:rPr>
              <w:t>(Mermel et al 2009</w:t>
            </w:r>
            <w:r>
              <w:rPr>
                <w:rFonts w:ascii="Arial" w:hAnsi="Arial" w:cs="Arial"/>
                <w:sz w:val="18"/>
                <w:szCs w:val="20"/>
              </w:rPr>
              <w:t>, Hope et al 2012</w:t>
            </w:r>
            <w:r w:rsidRPr="00C46C19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Merge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21.7 (10,42)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37.4 (14,84)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28)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17.4 (10,42)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26.7 (14,60)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30)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Esophagitis (Candida, Fluconazole)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in children living with HIV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6979">
              <w:rPr>
                <w:rFonts w:ascii="Arial" w:hAnsi="Arial" w:cs="Arial"/>
                <w:sz w:val="18"/>
                <w:szCs w:val="18"/>
              </w:rPr>
              <w:t>(Pappas et al 2016, Dockrell et al 2019, Lortholary et al 2012)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14</w:t>
            </w:r>
            <w:r>
              <w:rPr>
                <w:rFonts w:ascii="Arial" w:hAnsi="Arial" w:cs="Arial"/>
                <w:sz w:val="20"/>
                <w:szCs w:val="18"/>
              </w:rPr>
              <w:t>.0</w:t>
            </w:r>
            <w:r w:rsidRPr="0060445A">
              <w:rPr>
                <w:rFonts w:ascii="Arial" w:hAnsi="Arial" w:cs="Arial"/>
                <w:sz w:val="20"/>
                <w:szCs w:val="18"/>
              </w:rPr>
              <w:t xml:space="preserve"> (5,28)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20 (10,42)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13.7 (5,28)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37)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20.3 (10,42)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36)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pyelonephritis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092C">
              <w:rPr>
                <w:rFonts w:ascii="Arial" w:hAnsi="Arial" w:cs="Arial"/>
                <w:sz w:val="18"/>
                <w:szCs w:val="18"/>
              </w:rPr>
              <w:t xml:space="preserve">(Roberts et al 2012, Stein et al 2015, </w:t>
            </w:r>
            <w:r w:rsidRPr="0068092C">
              <w:rPr>
                <w:rFonts w:ascii="Arial" w:hAnsi="Arial" w:cs="Arial"/>
                <w:color w:val="0563C2"/>
                <w:sz w:val="18"/>
                <w:szCs w:val="18"/>
              </w:rPr>
              <w:t>https://www.nice.org.uk/guidance/ng111)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7.9 (2,10)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47)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12.2 (7,14)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44)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8.4 (5,10)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12.1 (7,14)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cystitis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0617">
              <w:rPr>
                <w:rFonts w:ascii="Arial" w:hAnsi="Arial" w:cs="Arial"/>
                <w:sz w:val="18"/>
                <w:szCs w:val="18"/>
              </w:rPr>
              <w:t xml:space="preserve">(Stein et al 2015, </w:t>
            </w:r>
            <w:hyperlink r:id="rId11" w:history="1">
              <w:r w:rsidRPr="00E20617">
                <w:rPr>
                  <w:rStyle w:val="Hyperlink"/>
                  <w:sz w:val="18"/>
                  <w:szCs w:val="18"/>
                </w:rPr>
                <w:t>https://www.nice.org.uk/guidance/ng109</w:t>
              </w:r>
            </w:hyperlink>
            <w:r w:rsidRPr="00E20617">
              <w:rPr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5.7 (2,10)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8.3 (5,14)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5.1 (2,10)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7.7 (5,14)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37)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Cellulitis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2B17">
              <w:rPr>
                <w:rFonts w:ascii="Arial" w:hAnsi="Arial" w:cs="Arial"/>
                <w:sz w:val="18"/>
                <w:szCs w:val="20"/>
              </w:rPr>
              <w:t xml:space="preserve">(Stevens et al 2014, </w:t>
            </w:r>
            <w:hyperlink r:id="rId12" w:history="1">
              <w:r w:rsidRPr="00B62B17">
                <w:rPr>
                  <w:rStyle w:val="Hyperlink"/>
                  <w:sz w:val="20"/>
                </w:rPr>
                <w:t>https://www.nice.org.uk/guidance/ng141</w:t>
              </w:r>
            </w:hyperlink>
            <w:r w:rsidRPr="00B62B17">
              <w:rPr>
                <w:sz w:val="20"/>
              </w:rPr>
              <w:t>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7.0 (5,10)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10.2 (7,14)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41)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6.9 (5,10)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10 (7,14)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37)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Pyomyositis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2B17">
              <w:rPr>
                <w:rFonts w:ascii="Arial" w:hAnsi="Arial" w:cs="Arial"/>
                <w:sz w:val="18"/>
                <w:szCs w:val="18"/>
              </w:rPr>
              <w:t>(Stevens et al 2014, Saavedra-Lozano et al 2017)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12 (7,30)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17.2 (10,42)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41)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11.7 (7,21)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35)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18.4 (10,36)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33)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non-vertebral osteomyelitis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3ACA">
              <w:rPr>
                <w:rFonts w:ascii="Arial" w:hAnsi="Arial" w:cs="Arial"/>
                <w:sz w:val="18"/>
                <w:szCs w:val="20"/>
              </w:rPr>
              <w:t>(</w:t>
            </w:r>
            <w:r w:rsidRPr="00493ACA">
              <w:rPr>
                <w:rFonts w:ascii="Arial" w:hAnsi="Arial" w:cs="Arial"/>
                <w:sz w:val="16"/>
                <w:szCs w:val="18"/>
              </w:rPr>
              <w:t>Saavedra-Lozano et al 2017, Sharif et al 2005, Yeo et al 2014)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28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28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26.8 (14,90)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42)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41.2 (21,120)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22.6 (14,42)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37)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34.9 (21,56)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37)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Non-gonococcal septic arthritis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25C5">
              <w:rPr>
                <w:rFonts w:ascii="Arial" w:hAnsi="Arial" w:cs="Arial"/>
                <w:sz w:val="18"/>
                <w:szCs w:val="20"/>
              </w:rPr>
              <w:t>(</w:t>
            </w:r>
            <w:r w:rsidRPr="006725C5">
              <w:rPr>
                <w:rFonts w:ascii="Arial" w:hAnsi="Arial" w:cs="Arial"/>
                <w:sz w:val="16"/>
                <w:szCs w:val="18"/>
              </w:rPr>
              <w:t>Saavedra-Lozano et al 2017, John et al 2011)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70" w:type="dxa"/>
            <w:gridSpan w:val="2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28.8 (10,120)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44)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45.4 (14,180)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42)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20.1 (7,120)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30.8 (10,180)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lastRenderedPageBreak/>
              <w:t>Malaria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Plasmodium falciparum</w:t>
            </w:r>
            <w:r w:rsidRPr="0060445A">
              <w:rPr>
                <w:rFonts w:ascii="Arial" w:hAnsi="Arial" w:cs="Arial"/>
                <w:sz w:val="20"/>
                <w:szCs w:val="20"/>
              </w:rPr>
              <w:t>, Artemether-Lumefantrine)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7530">
              <w:rPr>
                <w:rFonts w:ascii="Arial" w:hAnsi="Arial" w:cs="Arial"/>
                <w:sz w:val="18"/>
                <w:szCs w:val="20"/>
              </w:rPr>
              <w:t xml:space="preserve">(Lalloo et al 2016, </w:t>
            </w:r>
            <w:r w:rsidRPr="00F57530">
              <w:rPr>
                <w:rFonts w:ascii="Arial" w:hAnsi="Arial" w:cs="Arial"/>
                <w:sz w:val="18"/>
              </w:rPr>
              <w:t>Red book 2021)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gridSpan w:val="2"/>
            <w:vMerge w:val="restart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3.2 (1,7)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44)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 (3,14)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43)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3.3 (1,7)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4.1 (3,14)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Malaria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Plasmodium vivax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Chloroquine)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57530">
              <w:rPr>
                <w:rFonts w:ascii="Arial" w:hAnsi="Arial" w:cs="Arial"/>
                <w:sz w:val="18"/>
                <w:szCs w:val="20"/>
              </w:rPr>
              <w:t xml:space="preserve">(Lalloo et al 2016, </w:t>
            </w:r>
            <w:r w:rsidRPr="00F57530">
              <w:rPr>
                <w:rFonts w:ascii="Arial" w:hAnsi="Arial" w:cs="Arial"/>
                <w:sz w:val="18"/>
              </w:rPr>
              <w:t>Red book 2021)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gridSpan w:val="2"/>
            <w:vMerge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3.9 (1,14)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4.6 (3,14)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38)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3.6 (1,14)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34)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4.2 (3,14)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34)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Amebiasis (Metronidazole)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57530">
              <w:rPr>
                <w:rFonts w:ascii="Arial" w:hAnsi="Arial" w:cs="Arial"/>
                <w:sz w:val="18"/>
                <w:szCs w:val="20"/>
              </w:rPr>
              <w:t>(</w:t>
            </w:r>
            <w:r w:rsidRPr="00F57530">
              <w:rPr>
                <w:rFonts w:ascii="Arial" w:hAnsi="Arial" w:cs="Arial"/>
                <w:sz w:val="18"/>
              </w:rPr>
              <w:t>Red book 2021)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70" w:type="dxa"/>
            <w:gridSpan w:val="2"/>
            <w:vMerge w:val="restart"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Merge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5.8 (1,10)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8.3 (3,14)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6.4 (3,10)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40)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8.8 (3,10)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36)</w:t>
            </w:r>
          </w:p>
        </w:tc>
      </w:tr>
      <w:tr w:rsidR="005B78EC" w:rsidRPr="0060445A" w:rsidTr="002E241B">
        <w:tc>
          <w:tcPr>
            <w:tcW w:w="369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Giardiasis (Metronidazole)</w:t>
            </w:r>
            <w:r w:rsidRPr="006044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57530">
              <w:rPr>
                <w:rFonts w:ascii="Arial" w:hAnsi="Arial" w:cs="Arial"/>
                <w:sz w:val="18"/>
                <w:szCs w:val="20"/>
              </w:rPr>
              <w:t>(</w:t>
            </w:r>
            <w:r w:rsidRPr="00F57530">
              <w:rPr>
                <w:rFonts w:ascii="Arial" w:hAnsi="Arial" w:cs="Arial"/>
                <w:sz w:val="18"/>
              </w:rPr>
              <w:t>Red book 2021)</w:t>
            </w:r>
          </w:p>
        </w:tc>
        <w:tc>
          <w:tcPr>
            <w:tcW w:w="54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0" w:type="dxa"/>
            <w:gridSpan w:val="2"/>
            <w:vMerge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Merge/>
            <w:shd w:val="clear" w:color="auto" w:fill="7F7F7F" w:themeFill="text1" w:themeFillTint="80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5.2 (1,7)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47)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7.5 (1,14)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36)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4.9 (1,7)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39)</w:t>
            </w:r>
          </w:p>
        </w:tc>
        <w:tc>
          <w:tcPr>
            <w:tcW w:w="1530" w:type="dxa"/>
          </w:tcPr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6.7 (1,10)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  <w:r w:rsidRPr="0060445A">
              <w:rPr>
                <w:rFonts w:ascii="Arial" w:hAnsi="Arial" w:cs="Arial"/>
                <w:sz w:val="20"/>
                <w:szCs w:val="18"/>
              </w:rPr>
              <w:t>(n = 37)</w:t>
            </w:r>
          </w:p>
        </w:tc>
      </w:tr>
      <w:tr w:rsidR="005B78EC" w:rsidRPr="0060445A" w:rsidTr="002E241B">
        <w:tc>
          <w:tcPr>
            <w:tcW w:w="13320" w:type="dxa"/>
            <w:gridSpan w:val="11"/>
          </w:tcPr>
          <w:p w:rsidR="005B78EC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18"/>
                <w:vertAlign w:val="superscript"/>
              </w:rPr>
              <w:t>a</w:t>
            </w:r>
            <w:r w:rsidRPr="0060445A">
              <w:rPr>
                <w:rFonts w:ascii="Arial" w:hAnsi="Arial" w:cs="Arial"/>
                <w:sz w:val="20"/>
                <w:szCs w:val="18"/>
              </w:rPr>
              <w:t xml:space="preserve"> U.S.: AAP and IDSA guidelines, </w:t>
            </w:r>
            <w:r w:rsidRPr="0060445A">
              <w:rPr>
                <w:rFonts w:ascii="Arial" w:hAnsi="Arial" w:cs="Arial"/>
                <w:sz w:val="20"/>
                <w:szCs w:val="18"/>
                <w:vertAlign w:val="superscript"/>
              </w:rPr>
              <w:t>b</w:t>
            </w:r>
            <w:r w:rsidRPr="0060445A">
              <w:rPr>
                <w:rFonts w:ascii="Arial" w:hAnsi="Arial" w:cs="Arial"/>
                <w:sz w:val="20"/>
                <w:szCs w:val="18"/>
              </w:rPr>
              <w:t xml:space="preserve"> U.K.: 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BSAC, NICE and BPAIIG guidelines, </w:t>
            </w:r>
            <w:r w:rsidRPr="0060445A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 E.U.: ESCMID, EAU and ESPU guidelines</w:t>
            </w:r>
          </w:p>
          <w:p w:rsidR="005B78EC" w:rsidRPr="0060445A" w:rsidRDefault="005B78E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Shaded cells represent unavailable guideline recommendations for those specific infections.</w:t>
            </w:r>
          </w:p>
        </w:tc>
      </w:tr>
    </w:tbl>
    <w:p w:rsidR="005B78EC" w:rsidRDefault="005B78EC" w:rsidP="005B78EC">
      <w:pPr>
        <w:rPr>
          <w:rFonts w:ascii="Arial" w:hAnsi="Arial" w:cs="Arial"/>
        </w:rPr>
        <w:sectPr w:rsidR="005B78EC" w:rsidSect="00DD206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1399E" w:rsidRDefault="0051399E">
      <w:bookmarkStart w:id="0" w:name="_GoBack"/>
      <w:bookmarkEnd w:id="0"/>
    </w:p>
    <w:sectPr w:rsidR="0051399E" w:rsidSect="005B78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EC"/>
    <w:rsid w:val="0051399E"/>
    <w:rsid w:val="005B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8884B-34A9-4403-8056-B9ABF639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8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E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B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8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ice.org.uk/guidance/ng91" TargetMode="External"/><Relationship Id="rId12" Type="http://schemas.openxmlformats.org/officeDocument/2006/relationships/hyperlink" Target="https://www.nice.org.uk/guidance/ng1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ice.org.uk/guidance/cg102" TargetMode="External"/><Relationship Id="rId11" Type="http://schemas.openxmlformats.org/officeDocument/2006/relationships/hyperlink" Target="https://www.nice.org.uk/guidance/ng109" TargetMode="External"/><Relationship Id="rId5" Type="http://schemas.openxmlformats.org/officeDocument/2006/relationships/hyperlink" Target="https://www.nice.org.uk/guidance/cg102" TargetMode="External"/><Relationship Id="rId10" Type="http://schemas.openxmlformats.org/officeDocument/2006/relationships/hyperlink" Target="https://www.nice.org.uk/guidance/NG139" TargetMode="External"/><Relationship Id="rId4" Type="http://schemas.openxmlformats.org/officeDocument/2006/relationships/hyperlink" Target="https://www.nice.org.uk/guidance/cg102" TargetMode="External"/><Relationship Id="rId9" Type="http://schemas.openxmlformats.org/officeDocument/2006/relationships/hyperlink" Target="https://www.nice.org.uk/guidance/ng1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Tinsae Dr. Alemayehu</dc:creator>
  <cp:keywords/>
  <dc:description/>
  <cp:lastModifiedBy>Tinsae Dr. Alemayehu</cp:lastModifiedBy>
  <cp:revision>1</cp:revision>
  <dcterms:created xsi:type="dcterms:W3CDTF">2022-06-08T12:19:00Z</dcterms:created>
  <dcterms:modified xsi:type="dcterms:W3CDTF">2022-06-08T12:19:00Z</dcterms:modified>
</cp:coreProperties>
</file>