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B01E4" w14:textId="77777777" w:rsidR="003826F0" w:rsidRDefault="003826F0" w:rsidP="003826F0">
      <w:pPr>
        <w:pStyle w:val="Body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</w:rPr>
        <w:t>SUPPLEMENTAL MATERIALS:</w:t>
      </w:r>
    </w:p>
    <w:p w14:paraId="09B44B6B" w14:textId="77777777" w:rsidR="003826F0" w:rsidRDefault="003826F0" w:rsidP="003826F0">
      <w:pPr>
        <w:pStyle w:val="Body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4A105C">
        <w:rPr>
          <w:rFonts w:ascii="Times New Roman" w:hAnsi="Times New Roman" w:cs="Times New Roman"/>
          <w:b/>
          <w:bCs/>
          <w:color w:val="333333"/>
          <w:sz w:val="24"/>
          <w:szCs w:val="24"/>
          <w:u w:val="single"/>
        </w:rPr>
        <w:t>pCCL-LAMP2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u w:val="single"/>
        </w:rPr>
        <w:t>B</w:t>
      </w:r>
      <w:r w:rsidRPr="004A105C">
        <w:rPr>
          <w:rFonts w:ascii="Times New Roman" w:hAnsi="Times New Roman" w:cs="Times New Roman"/>
          <w:b/>
          <w:bCs/>
          <w:color w:val="333333"/>
          <w:sz w:val="24"/>
          <w:szCs w:val="24"/>
          <w:u w:val="single"/>
        </w:rPr>
        <w:t xml:space="preserve"> lentiviral vector is an efficient and stable vehicle for de novo expression of Hu-LAMP2 in KO HSPC </w:t>
      </w:r>
      <w:r w:rsidRPr="004A105C">
        <w:rPr>
          <w:rFonts w:ascii="Times New Roman" w:hAnsi="Times New Roman" w:cs="Times New Roman"/>
          <w:b/>
          <w:bCs/>
          <w:i/>
          <w:color w:val="333333"/>
          <w:sz w:val="24"/>
          <w:szCs w:val="24"/>
          <w:u w:val="single"/>
        </w:rPr>
        <w:t>in vitro</w:t>
      </w:r>
      <w:r w:rsidRPr="004A105C">
        <w:rPr>
          <w:rFonts w:ascii="Times New Roman" w:hAnsi="Times New Roman" w:cs="Times New Roman"/>
          <w:b/>
          <w:bCs/>
          <w:color w:val="333333"/>
          <w:sz w:val="24"/>
          <w:szCs w:val="24"/>
          <w:u w:val="single"/>
        </w:rPr>
        <w:t xml:space="preserve"> </w:t>
      </w:r>
    </w:p>
    <w:p w14:paraId="64BDF533" w14:textId="77777777" w:rsidR="003826F0" w:rsidRDefault="003826F0" w:rsidP="003826F0">
      <w:pPr>
        <w:pStyle w:val="Body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4571D">
        <w:rPr>
          <w:rFonts w:ascii="Times New Roman" w:hAnsi="Times New Roman" w:cs="Times New Roman"/>
          <w:color w:val="333333"/>
          <w:sz w:val="24"/>
          <w:szCs w:val="24"/>
        </w:rPr>
        <w:t>We isolated Sca1</w:t>
      </w:r>
      <w:r w:rsidRPr="0034571D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>+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 xml:space="preserve"> murine HSPCs from the Lamp2 KO mice and littermate Wildtype (WT) mice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, and surprisingly 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>HSPC</w:t>
      </w:r>
      <w:r w:rsidRPr="00880021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yields 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>from Lamp2 KO mice w</w:t>
      </w:r>
      <w:r>
        <w:rPr>
          <w:rFonts w:ascii="Times New Roman" w:hAnsi="Times New Roman" w:cs="Times New Roman"/>
          <w:color w:val="333333"/>
          <w:sz w:val="24"/>
          <w:szCs w:val="24"/>
        </w:rPr>
        <w:t>ere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 xml:space="preserve"> 70% </w:t>
      </w:r>
      <w:r>
        <w:rPr>
          <w:rFonts w:ascii="Times New Roman" w:hAnsi="Times New Roman" w:cs="Times New Roman"/>
          <w:color w:val="333333"/>
          <w:sz w:val="24"/>
          <w:szCs w:val="24"/>
        </w:rPr>
        <w:t>less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 xml:space="preserve"> than WT mice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. 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>To identify optimal transduction conditions, Sca1</w:t>
      </w:r>
      <w:r w:rsidRPr="0034571D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>+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>Lamp2</w:t>
      </w:r>
      <w:r w:rsidRPr="004A105C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>-/-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HSPC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 xml:space="preserve"> were </w:t>
      </w:r>
      <w:r>
        <w:rPr>
          <w:rFonts w:ascii="Times New Roman" w:hAnsi="Times New Roman" w:cs="Times New Roman"/>
          <w:color w:val="333333"/>
          <w:sz w:val="24"/>
          <w:szCs w:val="24"/>
        </w:rPr>
        <w:t>transduced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 xml:space="preserve"> with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the lentiviral vector 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>pCCL-LAMP2</w:t>
      </w:r>
      <w:r>
        <w:rPr>
          <w:rFonts w:ascii="Times New Roman" w:hAnsi="Times New Roman" w:cs="Times New Roman"/>
          <w:color w:val="333333"/>
          <w:sz w:val="24"/>
          <w:szCs w:val="24"/>
        </w:rPr>
        <w:t>B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 xml:space="preserve"> at a multiplicity of infection (MOI) of 2, 5 or 10 for 14 days.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The optimal vector copy number (VCN) was obtained at the MOI of 10 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>(Fig.S1A)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with measurable LAMP2 protein and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>good cell viability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 xml:space="preserve"> (Fig. S1D</w:t>
      </w:r>
      <w:r>
        <w:rPr>
          <w:rFonts w:ascii="Times New Roman" w:hAnsi="Times New Roman" w:cs="Times New Roman"/>
          <w:color w:val="333333"/>
          <w:sz w:val="24"/>
          <w:szCs w:val="24"/>
        </w:rPr>
        <w:t>, E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 xml:space="preserve">). The </w:t>
      </w:r>
      <w:r>
        <w:rPr>
          <w:rFonts w:ascii="Times New Roman" w:hAnsi="Times New Roman" w:cs="Times New Roman"/>
          <w:color w:val="333333"/>
          <w:sz w:val="24"/>
          <w:szCs w:val="24"/>
        </w:rPr>
        <w:t>LAMP2 transduced HSPCs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>maintained their mitotic potential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 xml:space="preserve"> between 2.34 to 2.92 times for 14 days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of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 xml:space="preserve"> culture with no evidence of leukemic transformation</w:t>
      </w:r>
      <w:r>
        <w:rPr>
          <w:rFonts w:ascii="Times New Roman" w:hAnsi="Times New Roman" w:cs="Times New Roman"/>
          <w:color w:val="333333"/>
          <w:sz w:val="24"/>
          <w:szCs w:val="24"/>
        </w:rPr>
        <w:t>.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>GFP transduced and KO HSPC showed a similar mitotic potential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 xml:space="preserve"> (Fig.S1B). </w:t>
      </w:r>
    </w:p>
    <w:p w14:paraId="6674A19B" w14:textId="77777777" w:rsidR="003826F0" w:rsidRDefault="003826F0" w:rsidP="003826F0">
      <w:pPr>
        <w:pStyle w:val="Body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4571D">
        <w:rPr>
          <w:rFonts w:ascii="Times New Roman" w:eastAsia="Microsoft YaHei" w:hAnsi="Times New Roman" w:cs="Times New Roman"/>
          <w:color w:val="262626"/>
          <w:sz w:val="24"/>
          <w:szCs w:val="24"/>
          <w:shd w:val="clear" w:color="auto" w:fill="FFFFFF"/>
        </w:rPr>
        <w:t xml:space="preserve">Microtubule-associated protein 1 light chain 3, usually referred to as LC3, is an essential protein in autophagy, and the accumulation of </w:t>
      </w:r>
      <w:r w:rsidRPr="00D07102">
        <w:rPr>
          <w:rFonts w:ascii="Times New Roman" w:eastAsia="Microsoft YaHei" w:hAnsi="Times New Roman" w:cs="Times New Roman"/>
          <w:color w:val="262626"/>
          <w:sz w:val="24"/>
          <w:szCs w:val="24"/>
          <w:shd w:val="clear" w:color="auto" w:fill="FFFFFF"/>
        </w:rPr>
        <w:t xml:space="preserve">its </w:t>
      </w:r>
      <w:r w:rsidRPr="00F74EDD">
        <w:rPr>
          <w:rStyle w:val="cf01"/>
          <w:rFonts w:ascii="Times New Roman" w:hAnsi="Times New Roman" w:cs="Times New Roman"/>
          <w:sz w:val="24"/>
          <w:szCs w:val="24"/>
        </w:rPr>
        <w:t>proteolytically cleaved and lipid</w:t>
      </w:r>
      <w:r>
        <w:rPr>
          <w:rStyle w:val="cf01"/>
          <w:rFonts w:ascii="Times New Roman" w:hAnsi="Times New Roman" w:cs="Times New Roman"/>
          <w:sz w:val="24"/>
          <w:szCs w:val="24"/>
        </w:rPr>
        <w:t>-</w:t>
      </w:r>
      <w:r w:rsidRPr="00F74EDD">
        <w:rPr>
          <w:rStyle w:val="cf01"/>
          <w:rFonts w:ascii="Times New Roman" w:hAnsi="Times New Roman" w:cs="Times New Roman"/>
          <w:sz w:val="24"/>
          <w:szCs w:val="24"/>
        </w:rPr>
        <w:t>modified derivative</w:t>
      </w:r>
      <w:r>
        <w:rPr>
          <w:rStyle w:val="cf01"/>
        </w:rPr>
        <w:t xml:space="preserve"> </w:t>
      </w:r>
      <w:r w:rsidRPr="0034571D">
        <w:rPr>
          <w:rFonts w:ascii="Times New Roman" w:eastAsia="Microsoft YaHei" w:hAnsi="Times New Roman" w:cs="Times New Roman"/>
          <w:color w:val="262626"/>
          <w:sz w:val="24"/>
          <w:szCs w:val="24"/>
          <w:shd w:val="clear" w:color="auto" w:fill="FFFFFF"/>
        </w:rPr>
        <w:t>form LC3-II. Previous studies have demonstrated that LAMP2 deficien</w:t>
      </w:r>
      <w:r>
        <w:rPr>
          <w:rFonts w:ascii="Times New Roman" w:eastAsia="Microsoft YaHei" w:hAnsi="Times New Roman" w:cs="Times New Roman"/>
          <w:color w:val="262626"/>
          <w:sz w:val="24"/>
          <w:szCs w:val="24"/>
          <w:shd w:val="clear" w:color="auto" w:fill="FFFFFF"/>
        </w:rPr>
        <w:t xml:space="preserve">cy </w:t>
      </w:r>
      <w:r w:rsidRPr="0034571D">
        <w:rPr>
          <w:rFonts w:ascii="Times New Roman" w:eastAsia="Microsoft YaHei" w:hAnsi="Times New Roman" w:cs="Times New Roman"/>
          <w:color w:val="262626"/>
          <w:sz w:val="24"/>
          <w:szCs w:val="24"/>
          <w:shd w:val="clear" w:color="auto" w:fill="FFFFFF"/>
        </w:rPr>
        <w:t>result</w:t>
      </w:r>
      <w:r>
        <w:rPr>
          <w:rFonts w:ascii="Times New Roman" w:eastAsia="Microsoft YaHei" w:hAnsi="Times New Roman" w:cs="Times New Roman"/>
          <w:color w:val="262626"/>
          <w:sz w:val="24"/>
          <w:szCs w:val="24"/>
          <w:shd w:val="clear" w:color="auto" w:fill="FFFFFF"/>
        </w:rPr>
        <w:t>s</w:t>
      </w:r>
      <w:r w:rsidRPr="0034571D">
        <w:rPr>
          <w:rFonts w:ascii="Times New Roman" w:eastAsia="Microsoft YaHei" w:hAnsi="Times New Roman" w:cs="Times New Roman"/>
          <w:color w:val="262626"/>
          <w:sz w:val="24"/>
          <w:szCs w:val="24"/>
          <w:shd w:val="clear" w:color="auto" w:fill="FFFFFF"/>
        </w:rPr>
        <w:t xml:space="preserve"> in an increase in the amount of autophagosome-bound LC3II in the myocardium of </w:t>
      </w:r>
      <w:r w:rsidRPr="0034571D">
        <w:rPr>
          <w:rFonts w:ascii="Times New Roman" w:eastAsia="Microsoft YaHei" w:hAnsi="Times New Roman" w:cs="Times New Roman"/>
          <w:i/>
          <w:iCs/>
          <w:color w:val="262626"/>
          <w:sz w:val="24"/>
          <w:szCs w:val="24"/>
          <w:shd w:val="clear" w:color="auto" w:fill="FFFFFF"/>
        </w:rPr>
        <w:t>Lamp2</w:t>
      </w:r>
      <w:r w:rsidRPr="0034571D">
        <w:rPr>
          <w:rFonts w:ascii="Times New Roman" w:eastAsia="Microsoft YaHei" w:hAnsi="Times New Roman" w:cs="Times New Roman"/>
          <w:color w:val="262626"/>
          <w:sz w:val="24"/>
          <w:szCs w:val="24"/>
          <w:shd w:val="clear" w:color="auto" w:fill="FFFFFF"/>
        </w:rPr>
        <w:t> KO mice</w:t>
      </w:r>
      <w:r>
        <w:rPr>
          <w:rFonts w:ascii="Times New Roman" w:eastAsia="Microsoft YaHei" w:hAnsi="Times New Roman" w:cs="Times New Roman"/>
          <w:color w:val="262626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</w:rPr>
        <w:t>Importantly,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 xml:space="preserve"> LC3</w:t>
      </w:r>
      <w:r>
        <w:rPr>
          <w:rFonts w:ascii="Times New Roman" w:hAnsi="Times New Roman" w:cs="Times New Roman"/>
          <w:color w:val="333333"/>
          <w:sz w:val="24"/>
          <w:szCs w:val="24"/>
        </w:rPr>
        <w:t>-II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 xml:space="preserve"> level</w:t>
      </w:r>
      <w:r>
        <w:rPr>
          <w:rFonts w:ascii="Times New Roman" w:hAnsi="Times New Roman" w:cs="Times New Roman"/>
          <w:color w:val="333333"/>
          <w:sz w:val="24"/>
          <w:szCs w:val="24"/>
        </w:rPr>
        <w:t>s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>decreased in LAMP2 transduced HSPCs indicating a functional rescue of lysosome-autophagosome fusion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 xml:space="preserve"> (Fig</w:t>
      </w:r>
      <w:r>
        <w:rPr>
          <w:rFonts w:ascii="Times New Roman" w:hAnsi="Times New Roman" w:cs="Times New Roman"/>
          <w:color w:val="333333"/>
          <w:sz w:val="24"/>
          <w:szCs w:val="24"/>
        </w:rPr>
        <w:t>.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 xml:space="preserve"> S1E)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. Based on these data, MOI 10 was used for the entire study. </w:t>
      </w:r>
    </w:p>
    <w:p w14:paraId="2368AFB8" w14:textId="77777777" w:rsidR="003826F0" w:rsidRPr="00B30B0C" w:rsidRDefault="003826F0" w:rsidP="003826F0"/>
    <w:p w14:paraId="0229FBB7" w14:textId="77777777" w:rsidR="003826F0" w:rsidRDefault="003826F0" w:rsidP="003826F0">
      <w:pPr>
        <w:pStyle w:val="Body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u w:val="single"/>
        </w:rPr>
      </w:pPr>
      <w:r w:rsidRPr="00051B40">
        <w:rPr>
          <w:rFonts w:ascii="Times New Roman" w:hAnsi="Times New Roman" w:cs="Times New Roman"/>
          <w:b/>
          <w:bCs/>
          <w:color w:val="333333"/>
          <w:sz w:val="24"/>
          <w:szCs w:val="24"/>
          <w:u w:val="single"/>
        </w:rPr>
        <w:t>The increase of CD68</w:t>
      </w:r>
      <w:r w:rsidRPr="00051B40">
        <w:rPr>
          <w:rFonts w:ascii="Times New Roman" w:hAnsi="Times New Roman" w:cs="Times New Roman"/>
          <w:b/>
          <w:bCs/>
          <w:color w:val="333333"/>
          <w:sz w:val="24"/>
          <w:szCs w:val="24"/>
          <w:u w:val="single"/>
          <w:vertAlign w:val="superscript"/>
        </w:rPr>
        <w:t>+</w:t>
      </w:r>
      <w:r w:rsidRPr="00051B40">
        <w:rPr>
          <w:rFonts w:ascii="Times New Roman" w:hAnsi="Times New Roman" w:cs="Times New Roman"/>
          <w:b/>
          <w:bCs/>
          <w:color w:val="333333"/>
          <w:sz w:val="24"/>
          <w:szCs w:val="24"/>
          <w:u w:val="single"/>
        </w:rPr>
        <w:t xml:space="preserve"> macrophage cells in the hearts of Lamp2 KO mice.</w:t>
      </w:r>
    </w:p>
    <w:p w14:paraId="1FAA551A" w14:textId="77777777" w:rsidR="003826F0" w:rsidRDefault="003826F0" w:rsidP="003826F0">
      <w:pPr>
        <w:autoSpaceDE w:val="0"/>
        <w:autoSpaceDN w:val="0"/>
        <w:adjustRightInd w:val="0"/>
        <w:spacing w:line="276" w:lineRule="auto"/>
        <w:jc w:val="both"/>
      </w:pPr>
      <w:r w:rsidRPr="008D547B">
        <w:rPr>
          <w:color w:val="333333"/>
        </w:rPr>
        <w:t xml:space="preserve">Given that the heart is the primary affected organ in </w:t>
      </w:r>
      <w:proofErr w:type="spellStart"/>
      <w:r w:rsidRPr="008D547B">
        <w:rPr>
          <w:color w:val="333333"/>
        </w:rPr>
        <w:t>Danon</w:t>
      </w:r>
      <w:proofErr w:type="spellEnd"/>
      <w:r w:rsidRPr="008D547B">
        <w:rPr>
          <w:color w:val="333333"/>
        </w:rPr>
        <w:t xml:space="preserve"> disease, we hypothesized that the hearts of </w:t>
      </w:r>
      <w:r w:rsidRPr="008D547B">
        <w:rPr>
          <w:i/>
          <w:iCs/>
          <w:color w:val="333333"/>
        </w:rPr>
        <w:t>Lamp2</w:t>
      </w:r>
      <w:r w:rsidRPr="008D547B">
        <w:rPr>
          <w:color w:val="333333"/>
        </w:rPr>
        <w:t xml:space="preserve"> KO mice would exhibit an increase in tissue histiocytes (macrophages) secondary to cell injury. To test this hypothesis, we examined WT and </w:t>
      </w:r>
      <w:r w:rsidRPr="008D547B">
        <w:rPr>
          <w:i/>
          <w:iCs/>
          <w:color w:val="333333"/>
        </w:rPr>
        <w:t>Lamp2</w:t>
      </w:r>
      <w:r w:rsidRPr="008D547B">
        <w:rPr>
          <w:color w:val="333333"/>
        </w:rPr>
        <w:t xml:space="preserve"> KO mouse hearts for the presence and counts of tissue histiocytes/macrophages using CD68 as an immuno-marker. As expected, we found an increase in CD68</w:t>
      </w:r>
      <w:r w:rsidRPr="008D547B">
        <w:rPr>
          <w:color w:val="333333"/>
          <w:vertAlign w:val="superscript"/>
        </w:rPr>
        <w:t>+</w:t>
      </w:r>
      <w:r w:rsidRPr="008D547B">
        <w:rPr>
          <w:color w:val="333333"/>
        </w:rPr>
        <w:t xml:space="preserve"> cells in the hearts of </w:t>
      </w:r>
      <w:r w:rsidRPr="008D547B">
        <w:rPr>
          <w:i/>
          <w:iCs/>
          <w:color w:val="333333"/>
        </w:rPr>
        <w:t>Lamp2</w:t>
      </w:r>
      <w:r w:rsidRPr="008D547B">
        <w:rPr>
          <w:color w:val="333333"/>
        </w:rPr>
        <w:t xml:space="preserve"> KO mice compared to age-matched WT controls (number of macrophages per 60x magnification field are 3.1±1.6 in WT mouse hearts vs. 14.8±5.3 </w:t>
      </w:r>
      <w:r w:rsidRPr="008D547B">
        <w:rPr>
          <w:i/>
          <w:color w:val="333333"/>
        </w:rPr>
        <w:t xml:space="preserve">Lamp2 </w:t>
      </w:r>
      <w:r w:rsidRPr="008D547B">
        <w:rPr>
          <w:color w:val="333333"/>
        </w:rPr>
        <w:t>KO mouse hearts at 8-months of age) (Supplemental Fig. S</w:t>
      </w:r>
      <w:r w:rsidRPr="008D547B">
        <w:rPr>
          <w:rFonts w:hint="eastAsia"/>
          <w:color w:val="333333"/>
        </w:rPr>
        <w:t>2</w:t>
      </w:r>
      <w:r w:rsidRPr="008D547B">
        <w:rPr>
          <w:color w:val="333333"/>
        </w:rPr>
        <w:t>), suggesting that cellular injury</w:t>
      </w:r>
      <w:r w:rsidRPr="008D547B">
        <w:rPr>
          <w:rFonts w:hint="eastAsia"/>
          <w:color w:val="333333"/>
        </w:rPr>
        <w:t xml:space="preserve"> </w:t>
      </w:r>
      <w:r w:rsidRPr="008D547B">
        <w:rPr>
          <w:color w:val="333333"/>
        </w:rPr>
        <w:t>is possibly associated with an increase in</w:t>
      </w:r>
      <w:r>
        <w:rPr>
          <w:color w:val="333333"/>
        </w:rPr>
        <w:t xml:space="preserve"> the</w:t>
      </w:r>
      <w:r w:rsidRPr="008D547B">
        <w:rPr>
          <w:color w:val="333333"/>
        </w:rPr>
        <w:t xml:space="preserve"> number of tissues histiocytes in the </w:t>
      </w:r>
      <w:proofErr w:type="spellStart"/>
      <w:r w:rsidRPr="008D547B">
        <w:rPr>
          <w:color w:val="333333"/>
        </w:rPr>
        <w:t>Danon</w:t>
      </w:r>
      <w:proofErr w:type="spellEnd"/>
      <w:r w:rsidRPr="008D547B">
        <w:rPr>
          <w:color w:val="333333"/>
        </w:rPr>
        <w:t xml:space="preserve"> disease hearts. </w:t>
      </w:r>
    </w:p>
    <w:p w14:paraId="648F9412" w14:textId="77777777" w:rsidR="003826F0" w:rsidRPr="002B73A3" w:rsidRDefault="003826F0" w:rsidP="003826F0"/>
    <w:p w14:paraId="73306E46" w14:textId="77777777" w:rsidR="003826F0" w:rsidRPr="00CF0CD3" w:rsidRDefault="003826F0" w:rsidP="003826F0">
      <w:pPr>
        <w:pStyle w:val="Body"/>
        <w:spacing w:line="276" w:lineRule="auto"/>
        <w:jc w:val="both"/>
        <w:rPr>
          <w:rFonts w:ascii="Times New Roman" w:eastAsia="Arial Unicode MS" w:hAnsi="Times New Roman" w:cs="Times New Roman"/>
          <w:b/>
          <w:bCs/>
          <w:color w:val="333333"/>
          <w:sz w:val="24"/>
          <w:szCs w:val="24"/>
          <w:u w:val="single"/>
        </w:rPr>
      </w:pPr>
      <w:bookmarkStart w:id="0" w:name="_Hlk110266898"/>
      <w:r w:rsidRPr="00CF0CD3">
        <w:rPr>
          <w:rFonts w:ascii="Times New Roman" w:eastAsia="Arial Unicode MS" w:hAnsi="Times New Roman" w:cs="Times New Roman"/>
          <w:b/>
          <w:bCs/>
          <w:color w:val="333333"/>
          <w:sz w:val="24"/>
          <w:szCs w:val="24"/>
          <w:u w:val="single"/>
        </w:rPr>
        <w:t xml:space="preserve">HSPC transplantation reduction the spleen weight in the </w:t>
      </w:r>
      <w:proofErr w:type="spellStart"/>
      <w:r w:rsidRPr="00CF0CD3">
        <w:rPr>
          <w:rFonts w:ascii="Times New Roman" w:eastAsia="Arial Unicode MS" w:hAnsi="Times New Roman" w:cs="Times New Roman"/>
          <w:b/>
          <w:bCs/>
          <w:color w:val="333333"/>
          <w:sz w:val="24"/>
          <w:szCs w:val="24"/>
          <w:u w:val="single"/>
        </w:rPr>
        <w:t>Danon</w:t>
      </w:r>
      <w:proofErr w:type="spellEnd"/>
      <w:r w:rsidRPr="00CF0CD3">
        <w:rPr>
          <w:rFonts w:ascii="Times New Roman" w:eastAsia="Arial Unicode MS" w:hAnsi="Times New Roman" w:cs="Times New Roman"/>
          <w:b/>
          <w:bCs/>
          <w:color w:val="333333"/>
          <w:sz w:val="24"/>
          <w:szCs w:val="24"/>
          <w:u w:val="single"/>
        </w:rPr>
        <w:t xml:space="preserve"> mice</w:t>
      </w:r>
      <w:r>
        <w:rPr>
          <w:rFonts w:ascii="Times New Roman" w:eastAsia="Arial Unicode MS" w:hAnsi="Times New Roman" w:cs="Times New Roman"/>
          <w:b/>
          <w:bCs/>
          <w:color w:val="333333"/>
          <w:sz w:val="24"/>
          <w:szCs w:val="24"/>
          <w:u w:val="single"/>
        </w:rPr>
        <w:t>.</w:t>
      </w:r>
    </w:p>
    <w:p w14:paraId="24035750" w14:textId="77777777" w:rsidR="003826F0" w:rsidRPr="002922E7" w:rsidRDefault="003826F0" w:rsidP="003826F0">
      <w:pPr>
        <w:pStyle w:val="Body"/>
        <w:spacing w:line="276" w:lineRule="auto"/>
        <w:jc w:val="both"/>
        <w:rPr>
          <w:rFonts w:ascii="Times New Roman" w:eastAsia="Arial Unicode MS" w:hAnsi="Times New Roman" w:cs="Times New Roman"/>
          <w:color w:val="333333"/>
          <w:sz w:val="24"/>
          <w:szCs w:val="24"/>
          <w:lang w:eastAsia="zh-CN"/>
        </w:rPr>
      </w:pPr>
      <w:bookmarkStart w:id="1" w:name="_Hlk110270163"/>
      <w:r w:rsidRPr="0041788E">
        <w:rPr>
          <w:rFonts w:ascii="Times New Roman" w:eastAsia="Arial Unicode MS" w:hAnsi="Times New Roman" w:cs="Times New Roman"/>
          <w:color w:val="333333"/>
          <w:sz w:val="24"/>
          <w:szCs w:val="24"/>
        </w:rPr>
        <w:t xml:space="preserve">There were no differences in </w:t>
      </w:r>
      <w:r>
        <w:rPr>
          <w:rFonts w:ascii="Times New Roman" w:eastAsia="Arial Unicode MS" w:hAnsi="Times New Roman" w:cs="Times New Roman"/>
          <w:color w:val="333333"/>
          <w:sz w:val="24"/>
          <w:szCs w:val="24"/>
        </w:rPr>
        <w:t xml:space="preserve">body weight, liver weight, </w:t>
      </w:r>
      <w:proofErr w:type="gramStart"/>
      <w:r>
        <w:rPr>
          <w:rFonts w:ascii="Times New Roman" w:eastAsia="Arial Unicode MS" w:hAnsi="Times New Roman" w:cs="Times New Roman"/>
          <w:color w:val="333333"/>
          <w:sz w:val="24"/>
          <w:szCs w:val="24"/>
        </w:rPr>
        <w:t xml:space="preserve">or  </w:t>
      </w:r>
      <w:r w:rsidRPr="0041788E">
        <w:rPr>
          <w:rFonts w:ascii="Times New Roman" w:eastAsia="Arial Unicode MS" w:hAnsi="Times New Roman" w:cs="Times New Roman"/>
          <w:color w:val="333333"/>
          <w:sz w:val="24"/>
          <w:szCs w:val="24"/>
        </w:rPr>
        <w:t>gross</w:t>
      </w:r>
      <w:proofErr w:type="gramEnd"/>
      <w:r w:rsidRPr="0041788E">
        <w:rPr>
          <w:rFonts w:ascii="Times New Roman" w:eastAsia="Arial Unicode MS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color w:val="333333"/>
          <w:sz w:val="24"/>
          <w:szCs w:val="24"/>
        </w:rPr>
        <w:t xml:space="preserve">heart weight </w:t>
      </w:r>
      <w:r w:rsidRPr="0041788E">
        <w:rPr>
          <w:rFonts w:ascii="Times New Roman" w:eastAsia="Arial Unicode MS" w:hAnsi="Times New Roman" w:cs="Times New Roman"/>
          <w:color w:val="333333"/>
          <w:sz w:val="24"/>
          <w:szCs w:val="24"/>
        </w:rPr>
        <w:t xml:space="preserve">between any groups </w:t>
      </w:r>
      <w:bookmarkEnd w:id="1"/>
      <w:r w:rsidRPr="0041788E">
        <w:rPr>
          <w:rFonts w:ascii="Times New Roman" w:eastAsia="Arial Unicode MS" w:hAnsi="Times New Roman" w:cs="Times New Roman"/>
          <w:color w:val="333333"/>
          <w:sz w:val="24"/>
          <w:szCs w:val="24"/>
        </w:rPr>
        <w:t>the dissection data in Figure S</w:t>
      </w:r>
      <w:r>
        <w:rPr>
          <w:rFonts w:ascii="Times New Roman" w:eastAsia="Arial Unicode MS" w:hAnsi="Times New Roman" w:cs="Times New Roman"/>
          <w:color w:val="333333"/>
          <w:sz w:val="24"/>
          <w:szCs w:val="24"/>
        </w:rPr>
        <w:t>4</w:t>
      </w:r>
      <w:r w:rsidRPr="0041788E">
        <w:rPr>
          <w:rFonts w:ascii="Times New Roman" w:eastAsia="Arial Unicode MS" w:hAnsi="Times New Roman" w:cs="Times New Roman"/>
          <w:color w:val="333333"/>
          <w:sz w:val="24"/>
          <w:szCs w:val="24"/>
        </w:rPr>
        <w:t>A-</w:t>
      </w:r>
      <w:r>
        <w:rPr>
          <w:rFonts w:ascii="Times New Roman" w:eastAsia="Arial Unicode MS" w:hAnsi="Times New Roman" w:cs="Times New Roman"/>
          <w:color w:val="333333"/>
          <w:sz w:val="24"/>
          <w:szCs w:val="24"/>
        </w:rPr>
        <w:t>C</w:t>
      </w:r>
      <w:r w:rsidRPr="0041788E">
        <w:rPr>
          <w:rFonts w:ascii="Times New Roman" w:eastAsia="Arial Unicode MS" w:hAnsi="Times New Roman" w:cs="Times New Roman"/>
          <w:color w:val="333333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333333"/>
          <w:sz w:val="24"/>
          <w:szCs w:val="24"/>
        </w:rPr>
        <w:t xml:space="preserve"> </w:t>
      </w:r>
      <w:bookmarkStart w:id="2" w:name="_Hlk110270246"/>
      <w:r>
        <w:rPr>
          <w:rFonts w:ascii="Times New Roman" w:eastAsia="Arial Unicode MS" w:hAnsi="Times New Roman" w:cs="Times New Roman"/>
          <w:color w:val="333333"/>
          <w:sz w:val="24"/>
          <w:szCs w:val="24"/>
        </w:rPr>
        <w:t xml:space="preserve">However, </w:t>
      </w:r>
      <w:r w:rsidRPr="0041788E">
        <w:rPr>
          <w:rFonts w:ascii="Times New Roman" w:eastAsia="Arial Unicode MS" w:hAnsi="Times New Roman" w:cs="Times New Roman"/>
          <w:color w:val="333333"/>
          <w:sz w:val="24"/>
          <w:szCs w:val="24"/>
        </w:rPr>
        <w:t>Spleen weight was significantly heavier in the KO group (185±9.1mg) compared with the WT group (82.4±6.1</w:t>
      </w:r>
      <w:r>
        <w:rPr>
          <w:rFonts w:ascii="Times New Roman" w:eastAsia="Arial Unicode MS" w:hAnsi="Times New Roman" w:cs="Times New Roman"/>
          <w:color w:val="333333"/>
          <w:sz w:val="24"/>
          <w:szCs w:val="24"/>
        </w:rPr>
        <w:t xml:space="preserve"> </w:t>
      </w:r>
      <w:r w:rsidRPr="0041788E">
        <w:rPr>
          <w:rFonts w:ascii="Times New Roman" w:eastAsia="Arial Unicode MS" w:hAnsi="Times New Roman" w:cs="Times New Roman"/>
          <w:color w:val="333333"/>
          <w:sz w:val="24"/>
          <w:szCs w:val="24"/>
        </w:rPr>
        <w:t>mg). After the pCCL-LAMP2 HSPC transplantation, spleen weight reduced from 185.4±9.1</w:t>
      </w:r>
      <w:r>
        <w:rPr>
          <w:rFonts w:ascii="Times New Roman" w:eastAsia="Arial Unicode MS" w:hAnsi="Times New Roman" w:cs="Times New Roman"/>
          <w:color w:val="333333"/>
          <w:sz w:val="24"/>
          <w:szCs w:val="24"/>
        </w:rPr>
        <w:t xml:space="preserve">3 </w:t>
      </w:r>
      <w:r w:rsidRPr="0041788E">
        <w:rPr>
          <w:rFonts w:ascii="Times New Roman" w:eastAsia="Arial Unicode MS" w:hAnsi="Times New Roman" w:cs="Times New Roman"/>
          <w:color w:val="333333"/>
          <w:sz w:val="24"/>
          <w:szCs w:val="24"/>
        </w:rPr>
        <w:t>mg in KO HSPC to 78.84±5.1 mg in pCCL-LAMP2 HSPC, and 69.84±7.1 mg in WT HSPC (Fig S</w:t>
      </w:r>
      <w:r>
        <w:rPr>
          <w:rFonts w:ascii="Times New Roman" w:eastAsia="Arial Unicode MS" w:hAnsi="Times New Roman" w:cs="Times New Roman"/>
          <w:color w:val="333333"/>
          <w:sz w:val="24"/>
          <w:szCs w:val="24"/>
        </w:rPr>
        <w:t>3</w:t>
      </w:r>
      <w:r w:rsidRPr="0041788E">
        <w:rPr>
          <w:rFonts w:ascii="Times New Roman" w:eastAsia="Arial Unicode MS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color w:val="333333"/>
          <w:sz w:val="24"/>
          <w:szCs w:val="24"/>
        </w:rPr>
        <w:t>D</w:t>
      </w:r>
      <w:r w:rsidRPr="0041788E">
        <w:rPr>
          <w:rFonts w:ascii="Times New Roman" w:eastAsia="Arial Unicode MS" w:hAnsi="Times New Roman" w:cs="Times New Roman"/>
          <w:color w:val="333333"/>
          <w:sz w:val="24"/>
          <w:szCs w:val="24"/>
        </w:rPr>
        <w:t>).</w:t>
      </w:r>
      <w:bookmarkEnd w:id="2"/>
      <w:r w:rsidRPr="0041788E">
        <w:rPr>
          <w:rFonts w:ascii="Times New Roman" w:eastAsia="Arial Unicode MS" w:hAnsi="Times New Roman" w:cs="Times New Roman"/>
          <w:color w:val="333333"/>
          <w:sz w:val="24"/>
          <w:szCs w:val="24"/>
        </w:rPr>
        <w:t xml:space="preserve"> We </w:t>
      </w:r>
      <w:r>
        <w:rPr>
          <w:rFonts w:ascii="Times New Roman" w:eastAsia="Arial Unicode MS" w:hAnsi="Times New Roman" w:cs="Times New Roman"/>
          <w:color w:val="333333"/>
          <w:sz w:val="24"/>
          <w:szCs w:val="24"/>
        </w:rPr>
        <w:t>are collaborating with h</w:t>
      </w:r>
      <w:r w:rsidRPr="00666238">
        <w:rPr>
          <w:rFonts w:ascii="Times New Roman" w:eastAsia="Arial Unicode MS" w:hAnsi="Times New Roman" w:cs="Times New Roman"/>
          <w:color w:val="333333"/>
          <w:sz w:val="24"/>
          <w:szCs w:val="24"/>
        </w:rPr>
        <w:t>ematologic</w:t>
      </w:r>
      <w:r>
        <w:rPr>
          <w:rFonts w:ascii="Times New Roman" w:eastAsia="Arial Unicode MS" w:hAnsi="Times New Roman" w:cs="Times New Roman"/>
          <w:color w:val="333333"/>
          <w:sz w:val="24"/>
          <w:szCs w:val="24"/>
        </w:rPr>
        <w:t xml:space="preserve"> pathologists </w:t>
      </w:r>
      <w:proofErr w:type="gramStart"/>
      <w:r>
        <w:rPr>
          <w:rFonts w:ascii="Times New Roman" w:eastAsia="Arial Unicode MS" w:hAnsi="Times New Roman" w:cs="Times New Roman"/>
          <w:color w:val="333333"/>
          <w:sz w:val="24"/>
          <w:szCs w:val="24"/>
        </w:rPr>
        <w:t xml:space="preserve">to </w:t>
      </w:r>
      <w:r w:rsidRPr="0041788E">
        <w:rPr>
          <w:rFonts w:ascii="Times New Roman" w:eastAsia="Arial Unicode MS" w:hAnsi="Times New Roman" w:cs="Times New Roman"/>
          <w:color w:val="333333"/>
          <w:sz w:val="24"/>
          <w:szCs w:val="24"/>
        </w:rPr>
        <w:t xml:space="preserve"> investigate</w:t>
      </w:r>
      <w:proofErr w:type="gramEnd"/>
      <w:r w:rsidRPr="0041788E">
        <w:rPr>
          <w:rFonts w:ascii="Times New Roman" w:eastAsia="Arial Unicode MS" w:hAnsi="Times New Roman" w:cs="Times New Roman"/>
          <w:color w:val="333333"/>
          <w:sz w:val="24"/>
          <w:szCs w:val="24"/>
        </w:rPr>
        <w:t xml:space="preserve"> more of the histology and the physiology change of the spleen in the future study to understand more about the </w:t>
      </w:r>
      <w:proofErr w:type="spellStart"/>
      <w:r w:rsidRPr="0041788E">
        <w:rPr>
          <w:rFonts w:ascii="Times New Roman" w:eastAsia="Arial Unicode MS" w:hAnsi="Times New Roman" w:cs="Times New Roman"/>
          <w:color w:val="333333"/>
          <w:sz w:val="24"/>
          <w:szCs w:val="24"/>
        </w:rPr>
        <w:t>Danon</w:t>
      </w:r>
      <w:proofErr w:type="spellEnd"/>
      <w:r w:rsidRPr="0041788E">
        <w:rPr>
          <w:rFonts w:ascii="Times New Roman" w:eastAsia="Arial Unicode MS" w:hAnsi="Times New Roman" w:cs="Times New Roman"/>
          <w:color w:val="333333"/>
          <w:sz w:val="24"/>
          <w:szCs w:val="24"/>
        </w:rPr>
        <w:t xml:space="preserve"> disease in the immune and </w:t>
      </w:r>
      <w:r>
        <w:rPr>
          <w:rFonts w:ascii="Times New Roman" w:eastAsia="Arial Unicode MS" w:hAnsi="Times New Roman" w:cs="Times New Roman"/>
          <w:color w:val="333333"/>
          <w:sz w:val="24"/>
          <w:szCs w:val="24"/>
        </w:rPr>
        <w:t>h</w:t>
      </w:r>
      <w:r w:rsidRPr="00666238">
        <w:rPr>
          <w:rFonts w:ascii="Times New Roman" w:eastAsia="Arial Unicode MS" w:hAnsi="Times New Roman" w:cs="Times New Roman"/>
          <w:color w:val="333333"/>
          <w:sz w:val="24"/>
          <w:szCs w:val="24"/>
        </w:rPr>
        <w:t xml:space="preserve">ematologic </w:t>
      </w:r>
      <w:r>
        <w:rPr>
          <w:rFonts w:ascii="Times New Roman" w:eastAsia="Arial Unicode MS" w:hAnsi="Times New Roman" w:cs="Times New Roman"/>
          <w:color w:val="333333"/>
          <w:sz w:val="24"/>
          <w:szCs w:val="24"/>
        </w:rPr>
        <w:t>s</w:t>
      </w:r>
      <w:r w:rsidRPr="00666238">
        <w:rPr>
          <w:rFonts w:ascii="Times New Roman" w:eastAsia="Arial Unicode MS" w:hAnsi="Times New Roman" w:cs="Times New Roman"/>
          <w:color w:val="333333"/>
          <w:sz w:val="24"/>
          <w:szCs w:val="24"/>
        </w:rPr>
        <w:t>ystem</w:t>
      </w:r>
      <w:r w:rsidRPr="0041788E">
        <w:rPr>
          <w:rFonts w:ascii="Times New Roman" w:eastAsia="Arial Unicode MS" w:hAnsi="Times New Roman" w:cs="Times New Roman"/>
          <w:color w:val="333333"/>
          <w:sz w:val="24"/>
          <w:szCs w:val="24"/>
        </w:rPr>
        <w:t>.</w:t>
      </w:r>
    </w:p>
    <w:bookmarkEnd w:id="0"/>
    <w:p w14:paraId="2F39507C" w14:textId="77777777" w:rsidR="003826F0" w:rsidRDefault="003826F0" w:rsidP="003826F0">
      <w:pPr>
        <w:pStyle w:val="Body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</w:rPr>
        <w:lastRenderedPageBreak/>
        <w:t xml:space="preserve">Fig. S1 </w:t>
      </w:r>
      <w:r w:rsidRPr="00E547DC">
        <w:rPr>
          <w:rFonts w:ascii="Times New Roman" w:hAnsi="Times New Roman" w:cs="Times New Roman"/>
          <w:color w:val="333333"/>
          <w:sz w:val="24"/>
          <w:szCs w:val="24"/>
        </w:rPr>
        <w:t>pCCL-LAMP2 lentivirus as an efficient and stable vehicle for de novo expression de novo expression of Hu-LAMP2 in KO HSPC in vitro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. (A) </w:t>
      </w:r>
      <w:r w:rsidRPr="006318FC">
        <w:rPr>
          <w:rFonts w:ascii="Times New Roman" w:hAnsi="Times New Roman" w:cs="Times New Roman"/>
          <w:color w:val="333333"/>
          <w:sz w:val="24"/>
          <w:szCs w:val="24"/>
        </w:rPr>
        <w:t xml:space="preserve">pCCL-LAMP2 lentivirus vector structure. </w:t>
      </w:r>
      <w:r w:rsidRPr="00956D90">
        <w:rPr>
          <w:rFonts w:ascii="Times New Roman" w:hAnsi="Times New Roman" w:cs="Times New Roman"/>
          <w:color w:val="333333"/>
          <w:sz w:val="24"/>
          <w:szCs w:val="24"/>
        </w:rPr>
        <w:t xml:space="preserve">SIN-LTR = Self-inactivating long terminal repeat; </w:t>
      </w:r>
      <w:r>
        <w:rPr>
          <w:rFonts w:ascii="Times New Roman" w:hAnsi="Times New Roman" w:cs="Times New Roman"/>
          <w:color w:val="333333"/>
          <w:sz w:val="24"/>
          <w:szCs w:val="24"/>
        </w:rPr>
        <w:sym w:font="Symbol" w:char="F059"/>
      </w:r>
      <w:r w:rsidRPr="00956D90">
        <w:rPr>
          <w:rFonts w:ascii="Times New Roman" w:hAnsi="Times New Roman" w:cs="Times New Roman"/>
          <w:color w:val="333333"/>
          <w:sz w:val="24"/>
          <w:szCs w:val="24"/>
        </w:rPr>
        <w:t xml:space="preserve">= Psi sequence; RRE = rev responsive element; </w:t>
      </w:r>
      <w:proofErr w:type="spellStart"/>
      <w:r w:rsidRPr="00956D90">
        <w:rPr>
          <w:rFonts w:ascii="Times New Roman" w:hAnsi="Times New Roman" w:cs="Times New Roman"/>
          <w:color w:val="333333"/>
          <w:sz w:val="24"/>
          <w:szCs w:val="24"/>
        </w:rPr>
        <w:t>cPPT</w:t>
      </w:r>
      <w:proofErr w:type="spellEnd"/>
      <w:r w:rsidRPr="00956D90">
        <w:rPr>
          <w:rFonts w:ascii="Times New Roman" w:hAnsi="Times New Roman" w:cs="Times New Roman"/>
          <w:color w:val="333333"/>
          <w:sz w:val="24"/>
          <w:szCs w:val="24"/>
        </w:rPr>
        <w:t xml:space="preserve"> = central </w:t>
      </w:r>
      <w:proofErr w:type="spellStart"/>
      <w:r w:rsidRPr="00956D90">
        <w:rPr>
          <w:rFonts w:ascii="Times New Roman" w:hAnsi="Times New Roman" w:cs="Times New Roman"/>
          <w:color w:val="333333"/>
          <w:sz w:val="24"/>
          <w:szCs w:val="24"/>
        </w:rPr>
        <w:t>polypurine</w:t>
      </w:r>
      <w:proofErr w:type="spellEnd"/>
      <w:r w:rsidRPr="00956D90">
        <w:rPr>
          <w:rFonts w:ascii="Times New Roman" w:hAnsi="Times New Roman" w:cs="Times New Roman"/>
          <w:color w:val="333333"/>
          <w:sz w:val="24"/>
          <w:szCs w:val="24"/>
        </w:rPr>
        <w:t xml:space="preserve"> tract; EFS = elongation factor 1α short; LAMP2 cDNA= human LAMP2 cDNA; WPRE = woodchuck hepatitis post-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956D90">
        <w:rPr>
          <w:rFonts w:ascii="Times New Roman" w:hAnsi="Times New Roman" w:cs="Times New Roman"/>
          <w:color w:val="333333"/>
          <w:sz w:val="24"/>
          <w:szCs w:val="24"/>
        </w:rPr>
        <w:t>transcriptional regulatory element</w:t>
      </w:r>
      <w:r>
        <w:rPr>
          <w:rFonts w:ascii="Times New Roman" w:hAnsi="Times New Roman" w:cs="Times New Roman"/>
          <w:color w:val="333333"/>
          <w:sz w:val="24"/>
          <w:szCs w:val="24"/>
        </w:rPr>
        <w:t>. (B)</w:t>
      </w:r>
      <w:r w:rsidRPr="004B7A92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>Viral copy numbers (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>VCN</w:t>
      </w:r>
      <w:r>
        <w:rPr>
          <w:rFonts w:ascii="Times New Roman" w:hAnsi="Times New Roman" w:cs="Times New Roman"/>
          <w:color w:val="333333"/>
          <w:sz w:val="24"/>
          <w:szCs w:val="24"/>
        </w:rPr>
        <w:t>)</w:t>
      </w:r>
      <w:r w:rsidRPr="0034571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>of 14 days post pCCL</w:t>
      </w:r>
      <w:r w:rsidRPr="00E547DC">
        <w:rPr>
          <w:rFonts w:ascii="Times New Roman" w:hAnsi="Times New Roman" w:cs="Times New Roman"/>
          <w:color w:val="333333"/>
          <w:sz w:val="24"/>
          <w:szCs w:val="24"/>
        </w:rPr>
        <w:t xml:space="preserve">-LAMP2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transduced </w:t>
      </w:r>
      <w:r w:rsidRPr="00E547DC">
        <w:rPr>
          <w:rFonts w:ascii="Times New Roman" w:hAnsi="Times New Roman" w:cs="Times New Roman"/>
          <w:color w:val="333333"/>
          <w:sz w:val="24"/>
          <w:szCs w:val="24"/>
        </w:rPr>
        <w:t>in KO HSPC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at MOI 2, 5 and 10. (C) Cell count and viability of 7 and14 days post pCCL</w:t>
      </w:r>
      <w:r w:rsidRPr="00E547DC">
        <w:rPr>
          <w:rFonts w:ascii="Times New Roman" w:hAnsi="Times New Roman" w:cs="Times New Roman"/>
          <w:color w:val="333333"/>
          <w:sz w:val="24"/>
          <w:szCs w:val="24"/>
        </w:rPr>
        <w:t xml:space="preserve">-LAMP2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and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pCCL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-GFP transduced </w:t>
      </w:r>
      <w:r w:rsidRPr="00E547DC">
        <w:rPr>
          <w:rFonts w:ascii="Times New Roman" w:hAnsi="Times New Roman" w:cs="Times New Roman"/>
          <w:color w:val="333333"/>
          <w:sz w:val="24"/>
          <w:szCs w:val="24"/>
        </w:rPr>
        <w:t>in KO HSPC</w:t>
      </w:r>
      <w:r>
        <w:rPr>
          <w:rFonts w:ascii="Times New Roman" w:hAnsi="Times New Roman" w:cs="Times New Roman"/>
          <w:color w:val="333333"/>
          <w:sz w:val="24"/>
          <w:szCs w:val="24"/>
        </w:rPr>
        <w:t>. (D) Hu LAMP2 expression of 14 days post pCCL</w:t>
      </w:r>
      <w:r w:rsidRPr="00E547DC">
        <w:rPr>
          <w:rFonts w:ascii="Times New Roman" w:hAnsi="Times New Roman" w:cs="Times New Roman"/>
          <w:color w:val="333333"/>
          <w:sz w:val="24"/>
          <w:szCs w:val="24"/>
        </w:rPr>
        <w:t xml:space="preserve">-LAMP2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transduced </w:t>
      </w:r>
      <w:r w:rsidRPr="00E547DC">
        <w:rPr>
          <w:rFonts w:ascii="Times New Roman" w:hAnsi="Times New Roman" w:cs="Times New Roman"/>
          <w:color w:val="333333"/>
          <w:sz w:val="24"/>
          <w:szCs w:val="24"/>
        </w:rPr>
        <w:t>in KO HSPC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at MOI 10. (E) The </w:t>
      </w:r>
      <w:r w:rsidRPr="000E113B">
        <w:rPr>
          <w:rFonts w:ascii="Times New Roman" w:hAnsi="Times New Roman" w:cs="Times New Roman"/>
          <w:color w:val="333333"/>
          <w:sz w:val="24"/>
          <w:szCs w:val="24"/>
        </w:rPr>
        <w:t xml:space="preserve">necrosis and apoptosis demonstrating no significant changes between Lamp2 KO </w:t>
      </w:r>
      <w:proofErr w:type="gramStart"/>
      <w:r w:rsidRPr="000E113B">
        <w:rPr>
          <w:rFonts w:ascii="Times New Roman" w:hAnsi="Times New Roman" w:cs="Times New Roman"/>
          <w:color w:val="333333"/>
          <w:sz w:val="24"/>
          <w:szCs w:val="24"/>
        </w:rPr>
        <w:t>HSPC  and</w:t>
      </w:r>
      <w:proofErr w:type="gramEnd"/>
      <w:r w:rsidRPr="000E113B">
        <w:rPr>
          <w:rFonts w:ascii="Times New Roman" w:hAnsi="Times New Roman" w:cs="Times New Roman"/>
          <w:color w:val="333333"/>
          <w:sz w:val="24"/>
          <w:szCs w:val="24"/>
        </w:rPr>
        <w:t xml:space="preserve"> Lamp2 KO HSPC transduced with </w:t>
      </w:r>
      <w:proofErr w:type="spellStart"/>
      <w:r w:rsidRPr="000E113B">
        <w:rPr>
          <w:rFonts w:ascii="Times New Roman" w:hAnsi="Times New Roman" w:cs="Times New Roman"/>
          <w:color w:val="333333"/>
          <w:sz w:val="24"/>
          <w:szCs w:val="24"/>
        </w:rPr>
        <w:t>pCCL</w:t>
      </w:r>
      <w:proofErr w:type="spellEnd"/>
      <w:r w:rsidRPr="000E113B">
        <w:rPr>
          <w:rFonts w:ascii="Times New Roman" w:hAnsi="Times New Roman" w:cs="Times New Roman"/>
          <w:color w:val="333333"/>
          <w:sz w:val="24"/>
          <w:szCs w:val="24"/>
        </w:rPr>
        <w:t>-GFP or pCCL-LAMP2 transduction at 48h post transduction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with </w:t>
      </w:r>
      <w:r w:rsidRPr="000E113B">
        <w:rPr>
          <w:rFonts w:ascii="Times New Roman" w:hAnsi="Times New Roman" w:cs="Times New Roman"/>
          <w:color w:val="333333"/>
          <w:sz w:val="24"/>
          <w:szCs w:val="24"/>
        </w:rPr>
        <w:t>ANNEXIN V and PI assay</w:t>
      </w:r>
      <w:r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14:paraId="44D17645" w14:textId="77777777" w:rsidR="003826F0" w:rsidRDefault="003826F0" w:rsidP="003826F0">
      <w:pPr>
        <w:pStyle w:val="Body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>
        <w:rPr>
          <w:noProof/>
        </w:rPr>
        <w:drawing>
          <wp:inline distT="0" distB="0" distL="0" distR="0" wp14:anchorId="3141742C" wp14:editId="371292D4">
            <wp:extent cx="5819775" cy="4640943"/>
            <wp:effectExtent l="0" t="0" r="0" b="7620"/>
            <wp:docPr id="3" name="Picture 3" descr="Graphical user interfa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607"/>
                    <a:stretch/>
                  </pic:blipFill>
                  <pic:spPr bwMode="auto">
                    <a:xfrm>
                      <a:off x="0" y="0"/>
                      <a:ext cx="5819775" cy="4640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B30B03" w14:textId="77777777" w:rsidR="003826F0" w:rsidRDefault="003826F0" w:rsidP="003826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eastAsiaTheme="minorEastAsia"/>
          <w:sz w:val="22"/>
          <w:szCs w:val="22"/>
          <w:bdr w:val="none" w:sz="0" w:space="0" w:color="auto"/>
          <w:lang w:eastAsia="zh-CN"/>
        </w:rPr>
      </w:pPr>
    </w:p>
    <w:p w14:paraId="19BA32AE" w14:textId="77777777" w:rsidR="003826F0" w:rsidRDefault="003826F0" w:rsidP="003826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eastAsiaTheme="minorEastAsia"/>
          <w:sz w:val="22"/>
          <w:szCs w:val="22"/>
          <w:bdr w:val="none" w:sz="0" w:space="0" w:color="auto"/>
          <w:lang w:eastAsia="zh-CN"/>
        </w:rPr>
      </w:pPr>
    </w:p>
    <w:p w14:paraId="173706B8" w14:textId="77777777" w:rsidR="003826F0" w:rsidRDefault="003826F0" w:rsidP="003826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eastAsiaTheme="minorEastAsia"/>
          <w:sz w:val="22"/>
          <w:szCs w:val="22"/>
          <w:bdr w:val="none" w:sz="0" w:space="0" w:color="auto"/>
          <w:lang w:eastAsia="zh-CN"/>
        </w:rPr>
      </w:pPr>
    </w:p>
    <w:p w14:paraId="35097B97" w14:textId="77777777" w:rsidR="003826F0" w:rsidRDefault="003826F0" w:rsidP="003826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eastAsiaTheme="minorEastAsia"/>
          <w:sz w:val="22"/>
          <w:szCs w:val="22"/>
          <w:bdr w:val="none" w:sz="0" w:space="0" w:color="auto"/>
          <w:lang w:eastAsia="zh-CN"/>
        </w:rPr>
      </w:pPr>
    </w:p>
    <w:p w14:paraId="47D712EB" w14:textId="77777777" w:rsidR="003826F0" w:rsidRDefault="003826F0" w:rsidP="003826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eastAsiaTheme="minorEastAsia"/>
          <w:sz w:val="22"/>
          <w:szCs w:val="22"/>
          <w:bdr w:val="none" w:sz="0" w:space="0" w:color="auto"/>
          <w:lang w:eastAsia="zh-CN"/>
        </w:rPr>
      </w:pPr>
    </w:p>
    <w:p w14:paraId="20FD8AA7" w14:textId="77777777" w:rsidR="003826F0" w:rsidRPr="00141B50" w:rsidRDefault="003826F0" w:rsidP="003826F0">
      <w:pPr>
        <w:pStyle w:val="Body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141B50">
        <w:rPr>
          <w:rFonts w:ascii="Times New Roman" w:hAnsi="Times New Roman" w:cs="Times New Roman"/>
          <w:b/>
          <w:bCs/>
          <w:color w:val="333333"/>
          <w:sz w:val="24"/>
          <w:szCs w:val="24"/>
        </w:rPr>
        <w:lastRenderedPageBreak/>
        <w:t>Fig S2. Lamp-2 KO hearts harbor an increased population of CD68-positive macrophages compared to wild-type age matched controls</w:t>
      </w:r>
    </w:p>
    <w:p w14:paraId="39BCF4DF" w14:textId="77777777" w:rsidR="003826F0" w:rsidRDefault="003826F0" w:rsidP="003826F0">
      <w:pPr>
        <w:pStyle w:val="Body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141B50">
        <w:rPr>
          <w:rFonts w:ascii="Times New Roman" w:hAnsi="Times New Roman" w:cs="Times New Roman"/>
          <w:color w:val="333333"/>
          <w:sz w:val="24"/>
          <w:szCs w:val="24"/>
        </w:rPr>
        <w:t>(A-H) Representative confocal images of hearts of 8-month-old (A-D) wild-type (WT) and (E-H) Lamp-2 KO mouse littermates showing an increased number of resident CD68</w:t>
      </w:r>
      <w:r w:rsidRPr="006574FF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>+</w:t>
      </w:r>
      <w:r w:rsidRPr="00141B50">
        <w:rPr>
          <w:rFonts w:ascii="Times New Roman" w:hAnsi="Times New Roman" w:cs="Times New Roman"/>
          <w:color w:val="333333"/>
          <w:sz w:val="24"/>
          <w:szCs w:val="24"/>
        </w:rPr>
        <w:t xml:space="preserve"> tissue macrophages in Lamp-2 KO hearts (a-</w:t>
      </w:r>
      <w:proofErr w:type="spellStart"/>
      <w:r w:rsidRPr="00141B50">
        <w:rPr>
          <w:rFonts w:ascii="Times New Roman" w:hAnsi="Times New Roman" w:cs="Times New Roman"/>
          <w:color w:val="333333"/>
          <w:sz w:val="24"/>
          <w:szCs w:val="24"/>
        </w:rPr>
        <w:t>sarcomeric</w:t>
      </w:r>
      <w:proofErr w:type="spellEnd"/>
      <w:r w:rsidRPr="00141B50">
        <w:rPr>
          <w:rFonts w:ascii="Times New Roman" w:hAnsi="Times New Roman" w:cs="Times New Roman"/>
          <w:color w:val="333333"/>
          <w:sz w:val="24"/>
          <w:szCs w:val="24"/>
        </w:rPr>
        <w:t xml:space="preserve"> actinin: white; CD68-macrophages: red; DAPI nuclear stain: blue). Scale bar: 100 </w:t>
      </w:r>
      <w:proofErr w:type="gramStart"/>
      <w:r w:rsidRPr="00141B50">
        <w:rPr>
          <w:rFonts w:ascii="Times New Roman" w:hAnsi="Times New Roman" w:cs="Times New Roman"/>
          <w:color w:val="333333"/>
          <w:sz w:val="24"/>
          <w:szCs w:val="24"/>
        </w:rPr>
        <w:t>um</w:t>
      </w:r>
      <w:proofErr w:type="gramEnd"/>
      <w:r w:rsidRPr="00141B50">
        <w:rPr>
          <w:rFonts w:ascii="Times New Roman" w:hAnsi="Times New Roman" w:cs="Times New Roman"/>
          <w:color w:val="333333"/>
          <w:sz w:val="24"/>
          <w:szCs w:val="24"/>
        </w:rPr>
        <w:t>. (I) Quantification of the number of CD68</w:t>
      </w:r>
      <w:r w:rsidRPr="006574FF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>+</w:t>
      </w:r>
      <w:r w:rsidRPr="00141B50">
        <w:rPr>
          <w:rFonts w:ascii="Times New Roman" w:hAnsi="Times New Roman" w:cs="Times New Roman"/>
          <w:color w:val="333333"/>
          <w:sz w:val="24"/>
          <w:szCs w:val="24"/>
        </w:rPr>
        <w:t xml:space="preserve"> resident tissue macrophages in the hearts of WT and Lamp-2 KO mice (#macrophages per 60x magnification field are 3.1</w:t>
      </w:r>
      <w:r>
        <w:rPr>
          <w:rFonts w:ascii="Times New Roman" w:hAnsi="Times New Roman" w:cs="Times New Roman"/>
          <w:color w:val="333333"/>
          <w:sz w:val="24"/>
          <w:szCs w:val="24"/>
        </w:rPr>
        <w:t>±</w:t>
      </w:r>
      <w:r w:rsidRPr="00141B50">
        <w:rPr>
          <w:rFonts w:ascii="Times New Roman" w:hAnsi="Times New Roman" w:cs="Times New Roman"/>
          <w:color w:val="333333"/>
          <w:sz w:val="24"/>
          <w:szCs w:val="24"/>
        </w:rPr>
        <w:t>1.</w:t>
      </w:r>
      <w:proofErr w:type="gramStart"/>
      <w:r w:rsidRPr="00141B50">
        <w:rPr>
          <w:rFonts w:ascii="Times New Roman" w:hAnsi="Times New Roman" w:cs="Times New Roman"/>
          <w:color w:val="333333"/>
          <w:sz w:val="24"/>
          <w:szCs w:val="24"/>
        </w:rPr>
        <w:t>6  in</w:t>
      </w:r>
      <w:proofErr w:type="gramEnd"/>
      <w:r w:rsidRPr="00141B50">
        <w:rPr>
          <w:rFonts w:ascii="Times New Roman" w:hAnsi="Times New Roman" w:cs="Times New Roman"/>
          <w:color w:val="333333"/>
          <w:sz w:val="24"/>
          <w:szCs w:val="24"/>
        </w:rPr>
        <w:t xml:space="preserve"> WT mouse hearts vs. 1.8</w:t>
      </w:r>
      <w:r>
        <w:rPr>
          <w:rFonts w:ascii="Times New Roman" w:hAnsi="Times New Roman" w:cs="Times New Roman"/>
          <w:color w:val="333333"/>
          <w:sz w:val="24"/>
          <w:szCs w:val="24"/>
        </w:rPr>
        <w:t>±</w:t>
      </w:r>
      <w:r w:rsidRPr="00141B50">
        <w:rPr>
          <w:rFonts w:ascii="Times New Roman" w:hAnsi="Times New Roman" w:cs="Times New Roman"/>
          <w:color w:val="333333"/>
          <w:sz w:val="24"/>
          <w:szCs w:val="24"/>
        </w:rPr>
        <w:t xml:space="preserve">5.3 KO mouse hearts at 8-months of age). * p &lt;0.05, n=5. Student’s t-test. Data presented as mean </w:t>
      </w:r>
      <w:r>
        <w:rPr>
          <w:rFonts w:ascii="Times New Roman" w:hAnsi="Times New Roman" w:cs="Times New Roman"/>
          <w:color w:val="333333"/>
          <w:sz w:val="24"/>
          <w:szCs w:val="24"/>
        </w:rPr>
        <w:t>±</w:t>
      </w:r>
      <w:r w:rsidRPr="00141B50">
        <w:rPr>
          <w:rFonts w:ascii="Times New Roman" w:hAnsi="Times New Roman" w:cs="Times New Roman"/>
          <w:color w:val="333333"/>
          <w:sz w:val="24"/>
          <w:szCs w:val="24"/>
        </w:rPr>
        <w:t xml:space="preserve"> SD. </w:t>
      </w:r>
    </w:p>
    <w:p w14:paraId="210ADE70" w14:textId="77777777" w:rsidR="003826F0" w:rsidRPr="00141B50" w:rsidRDefault="003826F0" w:rsidP="003826F0">
      <w:pPr>
        <w:pStyle w:val="Body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14:paraId="390436D8" w14:textId="77777777" w:rsidR="003826F0" w:rsidRDefault="003826F0" w:rsidP="003826F0">
      <w:pPr>
        <w:pStyle w:val="Body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>
        <w:rPr>
          <w:noProof/>
        </w:rPr>
        <w:drawing>
          <wp:inline distT="0" distB="0" distL="0" distR="0" wp14:anchorId="5E97967F" wp14:editId="78756AEA">
            <wp:extent cx="5724607" cy="2430689"/>
            <wp:effectExtent l="0" t="0" r="0" b="8255"/>
            <wp:docPr id="2" name="Picture 2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1" t="9393" b="61067"/>
                    <a:stretch/>
                  </pic:blipFill>
                  <pic:spPr bwMode="auto">
                    <a:xfrm>
                      <a:off x="0" y="0"/>
                      <a:ext cx="5725418" cy="2431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B8D33C" w14:textId="77777777" w:rsidR="003826F0" w:rsidRDefault="003826F0" w:rsidP="003826F0">
      <w:pPr>
        <w:pStyle w:val="Body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</w:p>
    <w:p w14:paraId="5A8C8BAC" w14:textId="77777777" w:rsidR="003826F0" w:rsidRDefault="003826F0" w:rsidP="003826F0">
      <w:pPr>
        <w:pStyle w:val="Body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</w:p>
    <w:p w14:paraId="5CD72E75" w14:textId="77777777" w:rsidR="003826F0" w:rsidRPr="000F09FB" w:rsidRDefault="003826F0" w:rsidP="003826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eastAsiaTheme="minorEastAsia"/>
          <w:sz w:val="22"/>
          <w:szCs w:val="22"/>
          <w:bdr w:val="none" w:sz="0" w:space="0" w:color="auto"/>
          <w:lang w:eastAsia="zh-CN"/>
        </w:rPr>
      </w:pPr>
    </w:p>
    <w:p w14:paraId="461E2AB3" w14:textId="77777777" w:rsidR="003826F0" w:rsidRPr="000F09FB" w:rsidRDefault="003826F0" w:rsidP="003826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eastAsiaTheme="minorEastAsia"/>
          <w:sz w:val="22"/>
          <w:szCs w:val="22"/>
          <w:bdr w:val="none" w:sz="0" w:space="0" w:color="auto"/>
          <w:lang w:eastAsia="zh-CN"/>
        </w:rPr>
      </w:pPr>
    </w:p>
    <w:p w14:paraId="0E58F9F6" w14:textId="77777777" w:rsidR="003826F0" w:rsidRPr="000F09FB" w:rsidRDefault="003826F0" w:rsidP="003826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eastAsiaTheme="minorEastAsia"/>
          <w:sz w:val="22"/>
          <w:szCs w:val="22"/>
          <w:bdr w:val="none" w:sz="0" w:space="0" w:color="auto"/>
          <w:lang w:eastAsia="zh-CN"/>
        </w:rPr>
      </w:pPr>
    </w:p>
    <w:p w14:paraId="0679F92F" w14:textId="77777777" w:rsidR="003826F0" w:rsidRPr="000F09FB" w:rsidRDefault="003826F0" w:rsidP="003826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eastAsiaTheme="minorEastAsia"/>
          <w:sz w:val="22"/>
          <w:szCs w:val="22"/>
          <w:bdr w:val="none" w:sz="0" w:space="0" w:color="auto"/>
          <w:lang w:eastAsia="zh-CN"/>
        </w:rPr>
      </w:pPr>
    </w:p>
    <w:p w14:paraId="10593700" w14:textId="77777777" w:rsidR="003826F0" w:rsidRDefault="003826F0" w:rsidP="003826F0">
      <w:pPr>
        <w:pStyle w:val="EndNoteBibliography"/>
        <w:spacing w:line="360" w:lineRule="auto"/>
        <w:ind w:left="720" w:hanging="720"/>
      </w:pPr>
    </w:p>
    <w:p w14:paraId="499FB3F2" w14:textId="77777777" w:rsidR="003826F0" w:rsidRDefault="003826F0" w:rsidP="003826F0">
      <w:pPr>
        <w:pStyle w:val="EndNoteBibliography"/>
        <w:spacing w:line="360" w:lineRule="auto"/>
        <w:ind w:left="720" w:hanging="720"/>
      </w:pPr>
    </w:p>
    <w:p w14:paraId="0EC7268E" w14:textId="77777777" w:rsidR="003826F0" w:rsidRDefault="003826F0" w:rsidP="003826F0">
      <w:pPr>
        <w:pStyle w:val="EndNoteBibliography"/>
        <w:spacing w:line="360" w:lineRule="auto"/>
        <w:ind w:left="720" w:hanging="720"/>
      </w:pPr>
    </w:p>
    <w:p w14:paraId="091ECEAF" w14:textId="77777777" w:rsidR="003826F0" w:rsidRDefault="003826F0" w:rsidP="003826F0">
      <w:pPr>
        <w:pStyle w:val="EndNoteBibliography"/>
        <w:spacing w:line="360" w:lineRule="auto"/>
        <w:ind w:left="720" w:hanging="720"/>
      </w:pPr>
    </w:p>
    <w:p w14:paraId="7DEBD2C8" w14:textId="77777777" w:rsidR="003826F0" w:rsidRPr="00E461D8" w:rsidRDefault="003826F0" w:rsidP="003826F0">
      <w:pPr>
        <w:pStyle w:val="EndNoteBibliography"/>
        <w:spacing w:line="360" w:lineRule="auto"/>
        <w:ind w:left="720" w:hanging="720"/>
      </w:pPr>
    </w:p>
    <w:p w14:paraId="5B02403C" w14:textId="77777777" w:rsidR="003826F0" w:rsidRPr="00E461D8" w:rsidRDefault="003826F0" w:rsidP="003826F0">
      <w:pPr>
        <w:pStyle w:val="EndNoteBibliography"/>
        <w:spacing w:line="360" w:lineRule="auto"/>
      </w:pPr>
    </w:p>
    <w:p w14:paraId="00672820" w14:textId="77777777" w:rsidR="003826F0" w:rsidRPr="0054463D" w:rsidRDefault="003826F0" w:rsidP="003826F0">
      <w:pPr>
        <w:pStyle w:val="Body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7AFD70" w14:textId="77777777" w:rsidR="003826F0" w:rsidRDefault="003826F0" w:rsidP="003826F0">
      <w:pPr>
        <w:pStyle w:val="Body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</w:rPr>
        <w:lastRenderedPageBreak/>
        <w:t xml:space="preserve">Fig S3. </w:t>
      </w:r>
      <w:r w:rsidRPr="003A4EF3">
        <w:rPr>
          <w:rFonts w:ascii="Times New Roman" w:hAnsi="Times New Roman" w:cs="Times New Roman"/>
          <w:color w:val="333333"/>
          <w:sz w:val="24"/>
          <w:szCs w:val="24"/>
        </w:rPr>
        <w:t>Gene modified HSPC-transplanted Lamp2 KO mice rescue the spleen weight without any obvious heart weight change. (A)Body Weight (B) Heart Weight (C) Liver weight (</w:t>
      </w:r>
      <w:r>
        <w:rPr>
          <w:rFonts w:ascii="Times New Roman" w:hAnsi="Times New Roman" w:cs="Times New Roman"/>
          <w:color w:val="333333"/>
          <w:sz w:val="24"/>
          <w:szCs w:val="24"/>
        </w:rPr>
        <w:t>D</w:t>
      </w:r>
      <w:r w:rsidRPr="003A4EF3">
        <w:rPr>
          <w:rFonts w:ascii="Times New Roman" w:hAnsi="Times New Roman" w:cs="Times New Roman"/>
          <w:color w:val="333333"/>
          <w:sz w:val="24"/>
          <w:szCs w:val="24"/>
        </w:rPr>
        <w:t>) Spleen Weight. Wildtype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3A4EF3">
        <w:rPr>
          <w:rFonts w:ascii="Times New Roman" w:hAnsi="Times New Roman" w:cs="Times New Roman"/>
          <w:color w:val="333333"/>
          <w:sz w:val="24"/>
          <w:szCs w:val="24"/>
        </w:rPr>
        <w:t>(WT, n=9), Lamp2 KO (KO, n= 7), Lamp2 KO mouse transplanted with KO HSPC(KO HSPC, n=8), Lamp2 KO mouse transplanted with KO HSPC transduced with pCCL-LAMP2(pCCL-LAMP2 HSPC, n=10), Lamp2 KO mouse transplanted with WTGFP HSPC(WT HSPC, n=6)(One way ANOVA , * p&lt;0.05 or**p&lt;0.01  vs. WT,  # p&lt;0.05 vs.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3A4EF3">
        <w:rPr>
          <w:rFonts w:ascii="Times New Roman" w:hAnsi="Times New Roman" w:cs="Times New Roman"/>
          <w:color w:val="333333"/>
          <w:sz w:val="24"/>
          <w:szCs w:val="24"/>
        </w:rPr>
        <w:t>KO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HSPC</w:t>
      </w:r>
      <w:r w:rsidRPr="003A4EF3">
        <w:rPr>
          <w:rFonts w:ascii="Times New Roman" w:hAnsi="Times New Roman" w:cs="Times New Roman"/>
          <w:color w:val="333333"/>
          <w:sz w:val="24"/>
          <w:szCs w:val="24"/>
        </w:rPr>
        <w:t>, $ p&lt;0.05 vs. KO)</w:t>
      </w:r>
    </w:p>
    <w:p w14:paraId="595972CD" w14:textId="77777777" w:rsidR="003826F0" w:rsidRDefault="003826F0" w:rsidP="003826F0">
      <w:pPr>
        <w:pStyle w:val="Body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>
        <w:rPr>
          <w:noProof/>
        </w:rPr>
        <w:drawing>
          <wp:inline distT="0" distB="0" distL="0" distR="0" wp14:anchorId="4B93789C" wp14:editId="7386DE32">
            <wp:extent cx="5818638" cy="3143250"/>
            <wp:effectExtent l="0" t="0" r="0" b="0"/>
            <wp:docPr id="9" name="Picture 9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5" b="60123"/>
                    <a:stretch/>
                  </pic:blipFill>
                  <pic:spPr bwMode="auto">
                    <a:xfrm>
                      <a:off x="0" y="0"/>
                      <a:ext cx="5819775" cy="314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9604C2" w14:textId="77777777" w:rsidR="003826F0" w:rsidRDefault="003826F0" w:rsidP="003826F0"/>
    <w:p w14:paraId="7BE1F3B0" w14:textId="77777777" w:rsidR="00E4170F" w:rsidRDefault="00E4170F"/>
    <w:sectPr w:rsidR="00E4170F" w:rsidSect="00E67460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439285812"/>
      <w:docPartObj>
        <w:docPartGallery w:val="Page Numbers (Bottom of Page)"/>
        <w:docPartUnique/>
      </w:docPartObj>
    </w:sdtPr>
    <w:sdtContent>
      <w:p w14:paraId="18072917" w14:textId="77777777" w:rsidR="00BA5A1E" w:rsidRDefault="00000000" w:rsidP="00063331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5C013D2" w14:textId="77777777" w:rsidR="00BA5A1E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771763797"/>
      <w:docPartObj>
        <w:docPartGallery w:val="Page Numbers (Bottom of Page)"/>
        <w:docPartUnique/>
      </w:docPartObj>
    </w:sdtPr>
    <w:sdtContent>
      <w:p w14:paraId="7088F1FD" w14:textId="77777777" w:rsidR="00BA5A1E" w:rsidRDefault="00000000" w:rsidP="00063331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15</w:t>
        </w:r>
        <w:r>
          <w:rPr>
            <w:rStyle w:val="PageNumber"/>
          </w:rPr>
          <w:fldChar w:fldCharType="end"/>
        </w:r>
      </w:p>
    </w:sdtContent>
  </w:sdt>
  <w:p w14:paraId="50B87217" w14:textId="77777777" w:rsidR="00BA5A1E" w:rsidRDefault="0000000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6F0"/>
    <w:rsid w:val="003826F0"/>
    <w:rsid w:val="00E4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5139E"/>
  <w15:chartTrackingRefBased/>
  <w15:docId w15:val="{5EE835EE-4BC3-4C60-A9A8-9C5E44AD7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826F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rsid w:val="003826F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BodyChar">
    <w:name w:val="Body Char"/>
    <w:basedOn w:val="DefaultParagraphFont"/>
    <w:link w:val="Body"/>
    <w:rsid w:val="003826F0"/>
    <w:rPr>
      <w:rFonts w:ascii="Calibri" w:eastAsia="Calibri" w:hAnsi="Calibri" w:cs="Calibri"/>
      <w:color w:val="000000"/>
      <w:u w:color="000000"/>
      <w:bdr w:val="nil"/>
    </w:rPr>
  </w:style>
  <w:style w:type="paragraph" w:customStyle="1" w:styleId="EndNoteBibliography">
    <w:name w:val="EndNote Bibliography"/>
    <w:basedOn w:val="Normal"/>
    <w:link w:val="EndNoteBibliographyChar"/>
    <w:rsid w:val="003826F0"/>
    <w:pPr>
      <w:jc w:val="both"/>
    </w:pPr>
    <w:rPr>
      <w:rFonts w:ascii="Calibri" w:hAnsi="Calibri" w:cs="Calibri"/>
      <w:noProof/>
      <w:color w:val="000000"/>
      <w:sz w:val="22"/>
      <w:u w:color="000000"/>
    </w:rPr>
  </w:style>
  <w:style w:type="character" w:customStyle="1" w:styleId="EndNoteBibliographyChar">
    <w:name w:val="EndNote Bibliography Char"/>
    <w:basedOn w:val="BodyChar"/>
    <w:link w:val="EndNoteBibliography"/>
    <w:rsid w:val="003826F0"/>
    <w:rPr>
      <w:rFonts w:ascii="Calibri" w:eastAsia="Arial Unicode MS" w:hAnsi="Calibri" w:cs="Calibri"/>
      <w:noProof/>
      <w:color w:val="000000"/>
      <w:szCs w:val="24"/>
      <w:u w:color="000000"/>
      <w:bdr w:val="nil"/>
    </w:rPr>
  </w:style>
  <w:style w:type="paragraph" w:styleId="Footer">
    <w:name w:val="footer"/>
    <w:basedOn w:val="Normal"/>
    <w:link w:val="FooterChar"/>
    <w:uiPriority w:val="99"/>
    <w:unhideWhenUsed/>
    <w:rsid w:val="003826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6F0"/>
    <w:rPr>
      <w:rFonts w:ascii="Times New Roman" w:eastAsia="Arial Unicode MS" w:hAnsi="Times New Roman" w:cs="Times New Roman"/>
      <w:sz w:val="24"/>
      <w:szCs w:val="24"/>
      <w:bdr w:val="nil"/>
    </w:rPr>
  </w:style>
  <w:style w:type="character" w:styleId="PageNumber">
    <w:name w:val="page number"/>
    <w:basedOn w:val="DefaultParagraphFont"/>
    <w:uiPriority w:val="99"/>
    <w:semiHidden/>
    <w:unhideWhenUsed/>
    <w:rsid w:val="003826F0"/>
  </w:style>
  <w:style w:type="character" w:customStyle="1" w:styleId="cf01">
    <w:name w:val="cf01"/>
    <w:basedOn w:val="DefaultParagraphFont"/>
    <w:rsid w:val="003826F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781</Words>
  <Characters>4452</Characters>
  <Application>Microsoft Office Word</Application>
  <DocSecurity>0</DocSecurity>
  <Lines>37</Lines>
  <Paragraphs>10</Paragraphs>
  <ScaleCrop>false</ScaleCrop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1</cp:revision>
  <dcterms:created xsi:type="dcterms:W3CDTF">2022-08-19T15:06:00Z</dcterms:created>
  <dcterms:modified xsi:type="dcterms:W3CDTF">2022-08-19T15:06:00Z</dcterms:modified>
</cp:coreProperties>
</file>