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401" w:tblpY="1836"/>
        <w:tblOverlap w:val="never"/>
        <w:tblW w:w="1397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18"/>
        <w:gridCol w:w="835"/>
        <w:gridCol w:w="1015"/>
        <w:gridCol w:w="1135"/>
        <w:gridCol w:w="938"/>
        <w:gridCol w:w="1233"/>
        <w:gridCol w:w="1233"/>
        <w:gridCol w:w="1233"/>
        <w:gridCol w:w="1233"/>
        <w:gridCol w:w="1233"/>
        <w:gridCol w:w="1192"/>
        <w:gridCol w:w="11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3978" w:type="dxa"/>
            <w:gridSpan w:val="12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Table S1. Limits of detection, distributions of blood metals among the study population, intra-assay and inter-assay coefficients of variation (n=1104)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</w:trPr>
        <w:tc>
          <w:tcPr>
            <w:tcW w:w="151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Blood metals                                         (μg/L)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LOD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Total No. (%)  &lt;LOD </w:t>
            </w:r>
            <w:r>
              <w:rPr>
                <w:rStyle w:val="5"/>
                <w:rFonts w:hint="default" w:ascii="Arial Regular" w:hAnsi="Arial Regular" w:eastAsia="Arial Regular" w:cs="Arial Regular"/>
                <w:color w:val="000000"/>
                <w:sz w:val="22"/>
                <w:szCs w:val="22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non-HUA &lt;LOD </w:t>
            </w:r>
            <w:r>
              <w:rPr>
                <w:rStyle w:val="5"/>
                <w:rFonts w:hint="default" w:ascii="Arial Regular" w:hAnsi="Arial Regular" w:eastAsia="Arial Regular" w:cs="Arial Regular"/>
                <w:color w:val="000000"/>
                <w:sz w:val="22"/>
                <w:szCs w:val="22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HUA &lt;LOD </w:t>
            </w:r>
            <w:r>
              <w:rPr>
                <w:rStyle w:val="5"/>
                <w:rFonts w:hint="default" w:ascii="Arial Regular" w:hAnsi="Arial Regular" w:eastAsia="Arial Regular" w:cs="Arial Regular"/>
                <w:color w:val="000000"/>
                <w:sz w:val="22"/>
                <w:szCs w:val="22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123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5th percentile</w:t>
            </w:r>
          </w:p>
        </w:tc>
        <w:tc>
          <w:tcPr>
            <w:tcW w:w="123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25th percentile</w:t>
            </w:r>
          </w:p>
        </w:tc>
        <w:tc>
          <w:tcPr>
            <w:tcW w:w="123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50th percentile</w:t>
            </w:r>
          </w:p>
        </w:tc>
        <w:tc>
          <w:tcPr>
            <w:tcW w:w="123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75th percentile</w:t>
            </w:r>
          </w:p>
        </w:tc>
        <w:tc>
          <w:tcPr>
            <w:tcW w:w="123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95th percentile</w:t>
            </w:r>
          </w:p>
        </w:tc>
        <w:tc>
          <w:tcPr>
            <w:tcW w:w="119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Intra-assay CV%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Inter-assay CV%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2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Lead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0.20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0(0.00)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0 (0.00)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0(0.00)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52.47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57.71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61.12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63.92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72.78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2.49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9.46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Iron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15.80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0 (0.00)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0 (0.00)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0 (0.00)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373073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435948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466145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493121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537753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3.75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10.64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Copper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0.67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0 (0.00)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0 (0.00)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0 (0.00)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501.39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541.06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619.62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746.84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888.72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1.14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19.23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Calcium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25.60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0 (0.00)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0 (0.00)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0 (0.00)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47286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51882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57534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61544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64368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2.86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10.19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Magnesium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11.50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0 (0.00)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0 (0.00)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0 (0.00)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40304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44520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46488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48873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52626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3.31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8.45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51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Zinc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2.60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0 (0.00)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0 (0.00)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0 (0.00)</w:t>
            </w:r>
          </w:p>
        </w:tc>
        <w:tc>
          <w:tcPr>
            <w:tcW w:w="123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4640.48</w:t>
            </w:r>
          </w:p>
        </w:tc>
        <w:tc>
          <w:tcPr>
            <w:tcW w:w="123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5233.03</w:t>
            </w:r>
          </w:p>
        </w:tc>
        <w:tc>
          <w:tcPr>
            <w:tcW w:w="123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6000.58</w:t>
            </w:r>
          </w:p>
        </w:tc>
        <w:tc>
          <w:tcPr>
            <w:tcW w:w="123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6288.00</w:t>
            </w:r>
          </w:p>
        </w:tc>
        <w:tc>
          <w:tcPr>
            <w:tcW w:w="123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6869.57</w:t>
            </w:r>
          </w:p>
        </w:tc>
        <w:tc>
          <w:tcPr>
            <w:tcW w:w="119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5.42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11.52</w:t>
            </w:r>
          </w:p>
        </w:tc>
      </w:tr>
    </w:tbl>
    <w:p>
      <w:pPr>
        <w:pStyle w:val="6"/>
        <w:spacing w:before="0" w:line="240" w:lineRule="auto"/>
        <w:rPr>
          <w:szCs w:val="24"/>
          <w:u w:color="000000"/>
        </w:rPr>
      </w:pPr>
      <w:r>
        <w:rPr>
          <w:szCs w:val="24"/>
          <w:u w:color="000000"/>
        </w:rPr>
        <w:t>Note: LOD, limit of detection; CV, coefficient of variance.</w:t>
      </w:r>
    </w:p>
    <w:p>
      <w:pPr>
        <w:rPr>
          <w:sz w:val="20"/>
          <w:szCs w:val="24"/>
          <w:u w:color="000000"/>
        </w:rPr>
      </w:pPr>
      <w:r>
        <w:rPr>
          <w:szCs w:val="24"/>
          <w:u w:color="000000"/>
        </w:rPr>
        <w:t>Data are presented as number (percentage).</w:t>
      </w: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Regular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mZjg2NDFkYTgxZWUwNmZkMDk0MDcyOGQ0MmQyZGQifQ=="/>
  </w:docVars>
  <w:rsids>
    <w:rsidRoot w:val="00000000"/>
    <w:rsid w:val="2B10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10"/>
    <w:basedOn w:val="3"/>
    <w:uiPriority w:val="0"/>
    <w:rPr>
      <w:rFonts w:hint="default" w:ascii="Times New Roman" w:hAnsi="Times New Roman" w:cs="Times New Roman"/>
    </w:rPr>
  </w:style>
  <w:style w:type="character" w:customStyle="1" w:styleId="5">
    <w:name w:val="15"/>
    <w:basedOn w:val="3"/>
    <w:uiPriority w:val="0"/>
    <w:rPr>
      <w:rFonts w:hint="default" w:ascii="Arial Regular" w:hAnsi="Arial Regular" w:eastAsia="Arial Regular" w:cs="Arial Regular"/>
      <w:color w:val="000000"/>
      <w:sz w:val="32"/>
      <w:szCs w:val="32"/>
    </w:rPr>
  </w:style>
  <w:style w:type="paragraph" w:customStyle="1" w:styleId="6">
    <w:name w:val="ETME内容基本样式"/>
    <w:qFormat/>
    <w:uiPriority w:val="0"/>
    <w:pPr>
      <w:spacing w:before="240" w:line="360" w:lineRule="auto"/>
    </w:pPr>
    <w:rPr>
      <w:rFonts w:ascii="Times New Roman" w:hAnsi="Times New Roman" w:eastAsia="宋体" w:cs="Times New Roman"/>
      <w:color w:val="000000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2022-08-01T12:33:07Z</dcterms:created>
  <dc:creator>wangjierui</dc:creator>
  <cp:lastModifiedBy>王洁蕊</cp:lastModifiedBy>
  <dcterms:modified xsi:type="dcterms:W3CDTF">2022-08-01T12:34:50Z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A01B7F4B5C20434CA0799991A2F56291</vt:lpwstr>
  </property>
</Properties>
</file>