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09DCC" w14:textId="77777777" w:rsidR="00A02312" w:rsidRDefault="00A02312" w:rsidP="00A02312">
      <w:pPr>
        <w:keepNext/>
        <w:spacing w:line="360" w:lineRule="auto"/>
        <w:jc w:val="both"/>
      </w:pPr>
      <w:r w:rsidRPr="00F52893">
        <w:rPr>
          <w:noProof/>
          <w:lang w:eastAsia="de-DE"/>
        </w:rPr>
        <w:drawing>
          <wp:inline distT="0" distB="0" distL="0" distR="0" wp14:anchorId="2D0CC673" wp14:editId="5E25E378">
            <wp:extent cx="5536888" cy="4663809"/>
            <wp:effectExtent l="0" t="0" r="6985" b="3810"/>
            <wp:docPr id="9" name="Grafik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 descr="Diagram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4" r="19770" b="34007"/>
                    <a:stretch/>
                  </pic:blipFill>
                  <pic:spPr bwMode="auto">
                    <a:xfrm>
                      <a:off x="0" y="0"/>
                      <a:ext cx="5538065" cy="466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24FA1" w14:textId="77777777" w:rsidR="00A02312" w:rsidRPr="00F52893" w:rsidRDefault="00A02312" w:rsidP="00A02312">
      <w:pPr>
        <w:pStyle w:val="Caption"/>
        <w:spacing w:after="0"/>
        <w:jc w:val="both"/>
        <w:rPr>
          <w:rFonts w:ascii="Arial" w:hAnsi="Arial" w:cs="Arial"/>
          <w:b/>
          <w:i w:val="0"/>
          <w:color w:val="auto"/>
          <w:lang w:val="en-US"/>
        </w:rPr>
      </w:pPr>
      <w:r w:rsidRPr="00F52893">
        <w:rPr>
          <w:rFonts w:ascii="Arial" w:hAnsi="Arial" w:cs="Arial"/>
          <w:b/>
          <w:color w:val="auto"/>
          <w:lang w:val="en-US"/>
        </w:rPr>
        <w:t xml:space="preserve">Supplementary Figure </w:t>
      </w:r>
      <w:r>
        <w:rPr>
          <w:rFonts w:ascii="Arial" w:hAnsi="Arial" w:cs="Arial"/>
          <w:b/>
          <w:color w:val="auto"/>
          <w:lang w:val="en-US"/>
        </w:rPr>
        <w:t>S</w:t>
      </w:r>
      <w:r w:rsidRPr="00F52893">
        <w:rPr>
          <w:rFonts w:ascii="Arial" w:hAnsi="Arial" w:cs="Arial"/>
          <w:b/>
          <w:color w:val="auto"/>
        </w:rPr>
        <w:fldChar w:fldCharType="begin"/>
      </w:r>
      <w:r w:rsidRPr="00F52893">
        <w:rPr>
          <w:rFonts w:ascii="Arial" w:hAnsi="Arial" w:cs="Arial"/>
          <w:b/>
          <w:color w:val="auto"/>
          <w:lang w:val="en-US"/>
        </w:rPr>
        <w:instrText xml:space="preserve"> SEQ Supplementary_Figure \* ARABIC </w:instrText>
      </w:r>
      <w:r w:rsidRPr="00F52893">
        <w:rPr>
          <w:rFonts w:ascii="Arial" w:hAnsi="Arial" w:cs="Arial"/>
          <w:b/>
          <w:color w:val="auto"/>
        </w:rPr>
        <w:fldChar w:fldCharType="separate"/>
      </w:r>
      <w:r>
        <w:rPr>
          <w:rFonts w:ascii="Arial" w:hAnsi="Arial" w:cs="Arial"/>
          <w:b/>
          <w:noProof/>
          <w:color w:val="auto"/>
          <w:lang w:val="en-US"/>
        </w:rPr>
        <w:t>1</w:t>
      </w:r>
      <w:r w:rsidRPr="00F52893">
        <w:rPr>
          <w:rFonts w:ascii="Arial" w:hAnsi="Arial" w:cs="Arial"/>
          <w:b/>
          <w:color w:val="auto"/>
        </w:rPr>
        <w:fldChar w:fldCharType="end"/>
      </w:r>
      <w:r w:rsidRPr="00F52893">
        <w:rPr>
          <w:rFonts w:ascii="Arial" w:hAnsi="Arial" w:cs="Arial"/>
          <w:b/>
          <w:color w:val="auto"/>
          <w:lang w:val="en-US"/>
        </w:rPr>
        <w:t xml:space="preserve">: </w:t>
      </w:r>
      <w:r>
        <w:rPr>
          <w:rFonts w:ascii="Arial" w:hAnsi="Arial" w:cs="Arial"/>
          <w:b/>
          <w:i w:val="0"/>
          <w:color w:val="auto"/>
          <w:lang w:val="en-US"/>
        </w:rPr>
        <w:t>Spatial and context-dependent expression of Cd83 in microglia</w:t>
      </w:r>
    </w:p>
    <w:p w14:paraId="16B5E05B" w14:textId="77777777" w:rsidR="00A02312" w:rsidRPr="00A61BAC" w:rsidRDefault="00A02312" w:rsidP="00A02312">
      <w:pPr>
        <w:jc w:val="both"/>
        <w:rPr>
          <w:rFonts w:ascii="Arial" w:hAnsi="Arial" w:cs="Arial"/>
          <w:sz w:val="18"/>
          <w:lang w:val="en-US"/>
        </w:rPr>
      </w:pPr>
      <w:r w:rsidRPr="00F52893">
        <w:rPr>
          <w:rFonts w:ascii="Arial" w:hAnsi="Arial" w:cs="Arial"/>
          <w:sz w:val="18"/>
          <w:lang w:val="en-US"/>
        </w:rPr>
        <w:t>(A</w:t>
      </w:r>
      <w:r>
        <w:rPr>
          <w:rFonts w:ascii="Arial" w:hAnsi="Arial" w:cs="Arial"/>
          <w:sz w:val="18"/>
          <w:lang w:val="en-US"/>
        </w:rPr>
        <w:t xml:space="preserve">) </w:t>
      </w:r>
      <w:proofErr w:type="spellStart"/>
      <w:r>
        <w:rPr>
          <w:rFonts w:ascii="Arial" w:hAnsi="Arial" w:cs="Arial"/>
          <w:sz w:val="18"/>
          <w:lang w:val="en-US"/>
        </w:rPr>
        <w:t>Histrogram</w:t>
      </w:r>
      <w:proofErr w:type="spellEnd"/>
      <w:r>
        <w:rPr>
          <w:rFonts w:ascii="Arial" w:hAnsi="Arial" w:cs="Arial"/>
          <w:sz w:val="18"/>
          <w:lang w:val="en-US"/>
        </w:rPr>
        <w:t xml:space="preserve"> overlay of </w:t>
      </w:r>
      <w:proofErr w:type="spellStart"/>
      <w:r>
        <w:rPr>
          <w:rFonts w:ascii="Arial" w:hAnsi="Arial" w:cs="Arial"/>
          <w:sz w:val="18"/>
          <w:lang w:val="en-US"/>
        </w:rPr>
        <w:t>eGFP</w:t>
      </w:r>
      <w:proofErr w:type="spellEnd"/>
      <w:r>
        <w:rPr>
          <w:rFonts w:ascii="Arial" w:hAnsi="Arial" w:cs="Arial"/>
          <w:sz w:val="18"/>
          <w:lang w:val="en-US"/>
        </w:rPr>
        <w:t xml:space="preserve"> signal from microglia treated with actinomycin D. Microglia cells were isolated either from the CNS of wild-type or CD83-eGFP reporter mice. CD83e-GFP brains were divided into two different isolation media: for one hemisphere, 4 µM actinomycin D was added to all used solutions (</w:t>
      </w:r>
      <w:proofErr w:type="gramStart"/>
      <w:r>
        <w:rPr>
          <w:rFonts w:ascii="Arial" w:hAnsi="Arial" w:cs="Arial"/>
          <w:sz w:val="18"/>
          <w:lang w:val="en-US"/>
        </w:rPr>
        <w:t>i.e.</w:t>
      </w:r>
      <w:proofErr w:type="gramEnd"/>
      <w:r>
        <w:rPr>
          <w:rFonts w:ascii="Arial" w:hAnsi="Arial" w:cs="Arial"/>
          <w:sz w:val="18"/>
          <w:lang w:val="en-US"/>
        </w:rPr>
        <w:t xml:space="preserve"> RPMI, 1xHBSS, and 37 % </w:t>
      </w:r>
      <w:proofErr w:type="spellStart"/>
      <w:r>
        <w:rPr>
          <w:rFonts w:ascii="Arial" w:hAnsi="Arial" w:cs="Arial"/>
          <w:sz w:val="18"/>
          <w:lang w:val="en-US"/>
        </w:rPr>
        <w:t>Percoll</w:t>
      </w:r>
      <w:proofErr w:type="spellEnd"/>
      <w:r>
        <w:rPr>
          <w:rFonts w:ascii="Arial" w:hAnsi="Arial" w:cs="Arial"/>
          <w:sz w:val="18"/>
          <w:lang w:val="en-US"/>
        </w:rPr>
        <w:t>); the other hemisphere was processed as stated in the methods section. Wild-type microglia served as negative fluorescence control. (B) Two-Photon-microscopy image of brainstems of CD83-eGFP mice isolated at the peak of EAE. Brain slices were fixed in 4 % PFA and stained with P2RY12 antibody for 48 h. White arrowheads indicate exemplified double labeling of cells with P2RY12, whereas representative GFP-negative microglia are labeled with white asterisks. (C)</w:t>
      </w:r>
      <w:r w:rsidRPr="00A61BAC">
        <w:rPr>
          <w:rFonts w:ascii="Arial" w:hAnsi="Arial" w:cs="Arial"/>
          <w:sz w:val="18"/>
          <w:lang w:val="en-US"/>
        </w:rPr>
        <w:t xml:space="preserve"> </w:t>
      </w:r>
      <w:r>
        <w:rPr>
          <w:rFonts w:ascii="Arial" w:hAnsi="Arial" w:cs="Arial"/>
          <w:sz w:val="18"/>
          <w:lang w:val="en-US"/>
        </w:rPr>
        <w:t xml:space="preserve">Two-Photon-microscopy images of frontal cortex and spinal cord from either CD83-eGFP or C57BL/6 wild-type mice. Only in the spinal cord, co-localization of P2RY12 and </w:t>
      </w:r>
      <w:proofErr w:type="spellStart"/>
      <w:r>
        <w:rPr>
          <w:rFonts w:ascii="Arial" w:hAnsi="Arial" w:cs="Arial"/>
          <w:sz w:val="18"/>
          <w:lang w:val="en-US"/>
        </w:rPr>
        <w:t>eGFP</w:t>
      </w:r>
      <w:proofErr w:type="spellEnd"/>
      <w:r>
        <w:rPr>
          <w:rFonts w:ascii="Arial" w:hAnsi="Arial" w:cs="Arial"/>
          <w:sz w:val="18"/>
          <w:lang w:val="en-US"/>
        </w:rPr>
        <w:t xml:space="preserve"> is visible (</w:t>
      </w:r>
      <w:proofErr w:type="gramStart"/>
      <w:r>
        <w:rPr>
          <w:rFonts w:ascii="Arial" w:hAnsi="Arial" w:cs="Arial"/>
          <w:sz w:val="18"/>
          <w:lang w:val="en-US"/>
        </w:rPr>
        <w:t>i.e.</w:t>
      </w:r>
      <w:proofErr w:type="gramEnd"/>
      <w:r>
        <w:rPr>
          <w:rFonts w:ascii="Arial" w:hAnsi="Arial" w:cs="Arial"/>
          <w:sz w:val="18"/>
          <w:lang w:val="en-US"/>
        </w:rPr>
        <w:t xml:space="preserve"> yellow cells). Length of all scale bars: 20 µm.  (D) Distribution of </w:t>
      </w:r>
      <w:proofErr w:type="spellStart"/>
      <w:r>
        <w:rPr>
          <w:rFonts w:ascii="Arial" w:hAnsi="Arial" w:cs="Arial"/>
          <w:sz w:val="18"/>
          <w:lang w:val="en-US"/>
        </w:rPr>
        <w:t>eGFP</w:t>
      </w:r>
      <w:proofErr w:type="spellEnd"/>
      <w:r>
        <w:rPr>
          <w:rFonts w:ascii="Arial" w:hAnsi="Arial" w:cs="Arial"/>
          <w:sz w:val="18"/>
          <w:lang w:val="en-US"/>
        </w:rPr>
        <w:t>-signal in monocytes isolated from the spinal cords either of healthy CD83-eGFP mice or at the peak of EAE. Representative dot plots of monocytes (CD11b</w:t>
      </w:r>
      <w:r>
        <w:rPr>
          <w:rFonts w:ascii="Arial" w:hAnsi="Arial" w:cs="Arial"/>
          <w:sz w:val="18"/>
          <w:vertAlign w:val="superscript"/>
          <w:lang w:val="en-US"/>
        </w:rPr>
        <w:t>+</w:t>
      </w:r>
      <w:r>
        <w:rPr>
          <w:rFonts w:ascii="Arial" w:hAnsi="Arial" w:cs="Arial"/>
          <w:sz w:val="18"/>
          <w:lang w:val="en-US"/>
        </w:rPr>
        <w:t>/CD45</w:t>
      </w:r>
      <w:r>
        <w:rPr>
          <w:rFonts w:ascii="Arial" w:hAnsi="Arial" w:cs="Arial"/>
          <w:sz w:val="18"/>
          <w:vertAlign w:val="superscript"/>
          <w:lang w:val="en-US"/>
        </w:rPr>
        <w:t>high</w:t>
      </w:r>
      <w:r>
        <w:rPr>
          <w:rFonts w:ascii="Arial" w:hAnsi="Arial" w:cs="Arial"/>
          <w:sz w:val="18"/>
          <w:lang w:val="en-US"/>
        </w:rPr>
        <w:t>/Ly6C</w:t>
      </w:r>
      <w:r>
        <w:rPr>
          <w:rFonts w:ascii="Arial" w:hAnsi="Arial" w:cs="Arial"/>
          <w:sz w:val="18"/>
          <w:vertAlign w:val="superscript"/>
          <w:lang w:val="en-US"/>
        </w:rPr>
        <w:t>high</w:t>
      </w:r>
      <w:r>
        <w:rPr>
          <w:rFonts w:ascii="Arial" w:hAnsi="Arial" w:cs="Arial"/>
          <w:sz w:val="18"/>
          <w:lang w:val="en-US"/>
        </w:rPr>
        <w:t xml:space="preserve">), further gated on CD11c and MHC-II with color mapping to indicate CD83-eGFP fluorescence intensity, and quantitative analysis of </w:t>
      </w:r>
      <w:proofErr w:type="spellStart"/>
      <w:r>
        <w:rPr>
          <w:rFonts w:ascii="Arial" w:hAnsi="Arial" w:cs="Arial"/>
          <w:sz w:val="18"/>
          <w:lang w:val="en-US"/>
        </w:rPr>
        <w:t>eGFP</w:t>
      </w:r>
      <w:proofErr w:type="spellEnd"/>
      <w:r>
        <w:rPr>
          <w:rFonts w:ascii="Arial" w:hAnsi="Arial" w:cs="Arial"/>
          <w:sz w:val="18"/>
          <w:lang w:val="en-US"/>
        </w:rPr>
        <w:t>-signal strength (n=3 for healthy and n=5 for EAE mice; pooled from two independent experiments). (E)</w:t>
      </w:r>
      <w:r w:rsidRPr="009C313D">
        <w:rPr>
          <w:rFonts w:ascii="Arial" w:hAnsi="Arial" w:cs="Arial"/>
          <w:sz w:val="18"/>
          <w:lang w:val="en-US"/>
        </w:rPr>
        <w:t xml:space="preserve"> </w:t>
      </w:r>
      <w:r>
        <w:rPr>
          <w:rFonts w:ascii="Arial" w:hAnsi="Arial" w:cs="Arial"/>
          <w:sz w:val="18"/>
          <w:lang w:val="en-US"/>
        </w:rPr>
        <w:t xml:space="preserve">Distribution of </w:t>
      </w:r>
      <w:proofErr w:type="spellStart"/>
      <w:r>
        <w:rPr>
          <w:rFonts w:ascii="Arial" w:hAnsi="Arial" w:cs="Arial"/>
          <w:sz w:val="18"/>
          <w:lang w:val="en-US"/>
        </w:rPr>
        <w:t>eGFP</w:t>
      </w:r>
      <w:proofErr w:type="spellEnd"/>
      <w:r>
        <w:rPr>
          <w:rFonts w:ascii="Arial" w:hAnsi="Arial" w:cs="Arial"/>
          <w:sz w:val="18"/>
          <w:lang w:val="en-US"/>
        </w:rPr>
        <w:t>-signal in neutrophil granulocytes isolated from the spinal cords either of healthy CD83-eGFP mice or at the peak of EAE. Representative dot plots of granulocytes (CD11b</w:t>
      </w:r>
      <w:r>
        <w:rPr>
          <w:rFonts w:ascii="Arial" w:hAnsi="Arial" w:cs="Arial"/>
          <w:sz w:val="18"/>
          <w:vertAlign w:val="superscript"/>
          <w:lang w:val="en-US"/>
        </w:rPr>
        <w:t>+</w:t>
      </w:r>
      <w:r>
        <w:rPr>
          <w:rFonts w:ascii="Arial" w:hAnsi="Arial" w:cs="Arial"/>
          <w:sz w:val="18"/>
          <w:lang w:val="en-US"/>
        </w:rPr>
        <w:t>/CD45</w:t>
      </w:r>
      <w:r>
        <w:rPr>
          <w:rFonts w:ascii="Arial" w:hAnsi="Arial" w:cs="Arial"/>
          <w:sz w:val="18"/>
          <w:vertAlign w:val="superscript"/>
          <w:lang w:val="en-US"/>
        </w:rPr>
        <w:t>high</w:t>
      </w:r>
      <w:r>
        <w:rPr>
          <w:rFonts w:ascii="Arial" w:hAnsi="Arial" w:cs="Arial"/>
          <w:sz w:val="18"/>
          <w:lang w:val="en-US"/>
        </w:rPr>
        <w:t>/Ly6C</w:t>
      </w:r>
      <w:r>
        <w:rPr>
          <w:rFonts w:ascii="Arial" w:hAnsi="Arial" w:cs="Arial"/>
          <w:sz w:val="18"/>
          <w:vertAlign w:val="superscript"/>
          <w:lang w:val="en-US"/>
        </w:rPr>
        <w:t>low</w:t>
      </w:r>
      <w:r>
        <w:rPr>
          <w:rFonts w:ascii="Arial" w:hAnsi="Arial" w:cs="Arial"/>
          <w:sz w:val="18"/>
          <w:lang w:val="en-US"/>
        </w:rPr>
        <w:t xml:space="preserve">), gated on SSC-A versus Ly6G with color mapping to indicate CD83-eGFP fluorescence intensity, and quantitative analysis of </w:t>
      </w:r>
      <w:proofErr w:type="spellStart"/>
      <w:r>
        <w:rPr>
          <w:rFonts w:ascii="Arial" w:hAnsi="Arial" w:cs="Arial"/>
          <w:sz w:val="18"/>
          <w:lang w:val="en-US"/>
        </w:rPr>
        <w:t>eGFP</w:t>
      </w:r>
      <w:proofErr w:type="spellEnd"/>
      <w:r>
        <w:rPr>
          <w:rFonts w:ascii="Arial" w:hAnsi="Arial" w:cs="Arial"/>
          <w:sz w:val="18"/>
          <w:lang w:val="en-US"/>
        </w:rPr>
        <w:t>-signal strength (n=3 for healthy and n=5 for EAE mice; pooled from two independent experiments). Expression of Tmem119 (F) and Msr1 (G) in microglial cultures upon treatment with IFN-γ, TNF-α, LPS, or IL-4 for 24 h (n=6-19, data are pooled from five independent experiments). Statistically significant differences were determined with Mann-Whitney-U-test.</w:t>
      </w:r>
    </w:p>
    <w:p w14:paraId="5A6CC91E" w14:textId="77777777" w:rsidR="00A02312" w:rsidRDefault="00A02312" w:rsidP="00A02312">
      <w:pPr>
        <w:pStyle w:val="Caption"/>
        <w:spacing w:after="0"/>
        <w:jc w:val="both"/>
        <w:rPr>
          <w:rFonts w:ascii="Arial" w:hAnsi="Arial" w:cs="Arial"/>
          <w:b/>
          <w:color w:val="auto"/>
          <w:lang w:val="en-US"/>
        </w:rPr>
      </w:pPr>
      <w:r>
        <w:rPr>
          <w:rFonts w:ascii="Arial" w:hAnsi="Arial" w:cs="Arial"/>
          <w:noProof/>
          <w:lang w:eastAsia="de-DE"/>
        </w:rPr>
        <w:lastRenderedPageBreak/>
        <w:drawing>
          <wp:inline distT="0" distB="0" distL="0" distR="0" wp14:anchorId="6E946D8C" wp14:editId="4F3B96D5">
            <wp:extent cx="5466080" cy="2641600"/>
            <wp:effectExtent l="0" t="0" r="1270" b="6350"/>
            <wp:docPr id="6" name="Grafik 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Diagram, schematic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" b="13870"/>
                    <a:stretch/>
                  </pic:blipFill>
                  <pic:spPr bwMode="auto">
                    <a:xfrm>
                      <a:off x="0" y="0"/>
                      <a:ext cx="5476024" cy="264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C575F" w14:textId="77777777" w:rsidR="00A02312" w:rsidRPr="006267AB" w:rsidRDefault="00A02312" w:rsidP="00A02312">
      <w:pPr>
        <w:pStyle w:val="Caption"/>
        <w:spacing w:after="0"/>
        <w:jc w:val="both"/>
        <w:rPr>
          <w:rFonts w:ascii="Arial" w:hAnsi="Arial" w:cs="Arial"/>
          <w:b/>
          <w:i w:val="0"/>
          <w:color w:val="auto"/>
          <w:lang w:val="en-US"/>
        </w:rPr>
      </w:pPr>
      <w:r w:rsidRPr="00F52893">
        <w:rPr>
          <w:rFonts w:ascii="Arial" w:hAnsi="Arial" w:cs="Arial"/>
          <w:b/>
          <w:color w:val="auto"/>
          <w:lang w:val="en-US"/>
        </w:rPr>
        <w:t xml:space="preserve">Supplementary Figure </w:t>
      </w:r>
      <w:r>
        <w:rPr>
          <w:rFonts w:ascii="Arial" w:hAnsi="Arial" w:cs="Arial"/>
          <w:b/>
          <w:color w:val="auto"/>
          <w:lang w:val="en-US"/>
        </w:rPr>
        <w:t>S</w:t>
      </w:r>
      <w:r w:rsidRPr="00F52893">
        <w:rPr>
          <w:rFonts w:ascii="Arial" w:hAnsi="Arial" w:cs="Arial"/>
          <w:b/>
          <w:color w:val="auto"/>
        </w:rPr>
        <w:fldChar w:fldCharType="begin"/>
      </w:r>
      <w:r w:rsidRPr="00F52893">
        <w:rPr>
          <w:rFonts w:ascii="Arial" w:hAnsi="Arial" w:cs="Arial"/>
          <w:b/>
          <w:color w:val="auto"/>
          <w:lang w:val="en-US"/>
        </w:rPr>
        <w:instrText xml:space="preserve"> SEQ Supplementary_Figure \* ARABIC </w:instrText>
      </w:r>
      <w:r w:rsidRPr="00F52893">
        <w:rPr>
          <w:rFonts w:ascii="Arial" w:hAnsi="Arial" w:cs="Arial"/>
          <w:b/>
          <w:color w:val="auto"/>
        </w:rPr>
        <w:fldChar w:fldCharType="separate"/>
      </w:r>
      <w:r>
        <w:rPr>
          <w:rFonts w:ascii="Arial" w:hAnsi="Arial" w:cs="Arial"/>
          <w:b/>
          <w:noProof/>
          <w:color w:val="auto"/>
          <w:lang w:val="en-US"/>
        </w:rPr>
        <w:t>2</w:t>
      </w:r>
      <w:r w:rsidRPr="00F52893">
        <w:rPr>
          <w:rFonts w:ascii="Arial" w:hAnsi="Arial" w:cs="Arial"/>
          <w:b/>
          <w:color w:val="auto"/>
        </w:rPr>
        <w:fldChar w:fldCharType="end"/>
      </w:r>
      <w:r w:rsidRPr="00F52893">
        <w:rPr>
          <w:rFonts w:ascii="Arial" w:hAnsi="Arial" w:cs="Arial"/>
          <w:b/>
          <w:color w:val="auto"/>
          <w:lang w:val="en-US"/>
        </w:rPr>
        <w:t xml:space="preserve">: </w:t>
      </w:r>
      <w:r w:rsidRPr="006267AB">
        <w:rPr>
          <w:rFonts w:ascii="Arial" w:hAnsi="Arial" w:cs="Arial"/>
          <w:b/>
          <w:color w:val="auto"/>
          <w:lang w:val="en-US"/>
        </w:rPr>
        <w:t>Phenotypic analysis of CD83</w:t>
      </w:r>
      <w:r w:rsidRPr="006267AB">
        <w:rPr>
          <w:rFonts w:ascii="Arial" w:hAnsi="Arial" w:cs="Arial"/>
          <w:b/>
          <w:color w:val="auto"/>
          <w:vertAlign w:val="superscript"/>
          <w:lang w:val="en-US"/>
        </w:rPr>
        <w:t>ΔMG</w:t>
      </w:r>
      <w:r w:rsidRPr="006267AB">
        <w:rPr>
          <w:rFonts w:ascii="Arial" w:hAnsi="Arial" w:cs="Arial"/>
          <w:b/>
          <w:color w:val="auto"/>
          <w:lang w:val="en-US"/>
        </w:rPr>
        <w:t xml:space="preserve"> mice</w:t>
      </w:r>
    </w:p>
    <w:p w14:paraId="49609853" w14:textId="77777777" w:rsidR="00A02312" w:rsidRPr="00B20606" w:rsidRDefault="00A02312" w:rsidP="00A02312">
      <w:pPr>
        <w:jc w:val="both"/>
        <w:rPr>
          <w:rFonts w:ascii="Arial" w:hAnsi="Arial" w:cs="Arial"/>
          <w:sz w:val="18"/>
          <w:lang w:val="en-US"/>
        </w:rPr>
      </w:pPr>
      <w:r w:rsidRPr="00B20606">
        <w:rPr>
          <w:rFonts w:ascii="Arial" w:hAnsi="Arial" w:cs="Arial"/>
          <w:sz w:val="18"/>
          <w:lang w:val="en-US"/>
        </w:rPr>
        <w:t>(A</w:t>
      </w:r>
      <w:r>
        <w:rPr>
          <w:rFonts w:ascii="Arial" w:hAnsi="Arial" w:cs="Arial"/>
          <w:sz w:val="18"/>
          <w:lang w:val="en-US"/>
        </w:rPr>
        <w:t xml:space="preserve">) </w:t>
      </w:r>
      <w:r w:rsidRPr="00B20606">
        <w:rPr>
          <w:rFonts w:ascii="Arial" w:hAnsi="Arial" w:cs="Arial"/>
          <w:sz w:val="18"/>
          <w:lang w:val="en-US"/>
        </w:rPr>
        <w:t>Flow cytometric analyses of splenic DCs from CD83</w:t>
      </w:r>
      <w:r w:rsidRPr="00B20606">
        <w:rPr>
          <w:rFonts w:ascii="Arial" w:hAnsi="Arial" w:cs="Arial"/>
          <w:sz w:val="18"/>
          <w:vertAlign w:val="superscript"/>
          <w:lang w:val="en-US"/>
        </w:rPr>
        <w:t>ΔMG</w:t>
      </w:r>
      <w:r w:rsidRPr="00B20606">
        <w:rPr>
          <w:rFonts w:ascii="Arial" w:hAnsi="Arial" w:cs="Arial"/>
          <w:sz w:val="18"/>
          <w:lang w:val="en-US"/>
        </w:rPr>
        <w:t xml:space="preserve"> and CD83wt</w:t>
      </w:r>
      <w:r w:rsidRPr="00B20606">
        <w:rPr>
          <w:rFonts w:ascii="Arial" w:hAnsi="Arial" w:cs="Arial"/>
          <w:sz w:val="18"/>
          <w:vertAlign w:val="superscript"/>
          <w:lang w:val="en-US"/>
        </w:rPr>
        <w:t>Cre</w:t>
      </w:r>
      <w:r w:rsidRPr="00B20606">
        <w:rPr>
          <w:rFonts w:ascii="Arial" w:hAnsi="Arial" w:cs="Arial"/>
          <w:sz w:val="18"/>
          <w:lang w:val="en-US"/>
        </w:rPr>
        <w:t xml:space="preserve"> mice (at least) seven weeks after tamoxifen injection. Single cells were pre-gated on a B220</w:t>
      </w:r>
      <w:r w:rsidRPr="00B20606">
        <w:rPr>
          <w:rFonts w:ascii="Arial" w:hAnsi="Arial" w:cs="Arial"/>
          <w:sz w:val="18"/>
          <w:vertAlign w:val="superscript"/>
          <w:lang w:val="en-US"/>
        </w:rPr>
        <w:t>-</w:t>
      </w:r>
      <w:r w:rsidRPr="00B20606">
        <w:rPr>
          <w:rFonts w:ascii="Arial" w:hAnsi="Arial" w:cs="Arial"/>
          <w:sz w:val="18"/>
          <w:lang w:val="en-US"/>
        </w:rPr>
        <w:t>, CD11c</w:t>
      </w:r>
      <w:r w:rsidRPr="00B20606">
        <w:rPr>
          <w:rFonts w:ascii="Arial" w:hAnsi="Arial" w:cs="Arial"/>
          <w:sz w:val="18"/>
          <w:vertAlign w:val="superscript"/>
          <w:lang w:val="en-US"/>
        </w:rPr>
        <w:t>+</w:t>
      </w:r>
      <w:r w:rsidRPr="00B20606">
        <w:rPr>
          <w:rFonts w:ascii="Arial" w:hAnsi="Arial" w:cs="Arial"/>
          <w:sz w:val="18"/>
          <w:lang w:val="en-US"/>
        </w:rPr>
        <w:t>, and MHC-</w:t>
      </w:r>
      <w:proofErr w:type="spellStart"/>
      <w:r w:rsidRPr="00B20606">
        <w:rPr>
          <w:rFonts w:ascii="Arial" w:hAnsi="Arial" w:cs="Arial"/>
          <w:sz w:val="18"/>
          <w:lang w:val="en-US"/>
        </w:rPr>
        <w:t>II</w:t>
      </w:r>
      <w:r w:rsidRPr="00B20606">
        <w:rPr>
          <w:rFonts w:ascii="Arial" w:hAnsi="Arial" w:cs="Arial"/>
          <w:sz w:val="18"/>
          <w:vertAlign w:val="superscript"/>
          <w:lang w:val="en-US"/>
        </w:rPr>
        <w:t>high</w:t>
      </w:r>
      <w:proofErr w:type="spellEnd"/>
      <w:r w:rsidRPr="00B20606">
        <w:rPr>
          <w:rFonts w:ascii="Arial" w:hAnsi="Arial" w:cs="Arial"/>
          <w:sz w:val="18"/>
          <w:lang w:val="en-US"/>
        </w:rPr>
        <w:t xml:space="preserve"> subset, and CD83</w:t>
      </w:r>
      <w:r w:rsidRPr="00B20606">
        <w:rPr>
          <w:rFonts w:ascii="Arial" w:hAnsi="Arial" w:cs="Arial"/>
          <w:sz w:val="18"/>
          <w:vertAlign w:val="superscript"/>
          <w:lang w:val="en-US"/>
        </w:rPr>
        <w:t>+</w:t>
      </w:r>
      <w:r w:rsidRPr="00B20606">
        <w:rPr>
          <w:rFonts w:ascii="Arial" w:hAnsi="Arial" w:cs="Arial"/>
          <w:sz w:val="18"/>
          <w:lang w:val="en-US"/>
        </w:rPr>
        <w:t xml:space="preserve"> DCs were </w:t>
      </w:r>
      <w:proofErr w:type="spellStart"/>
      <w:r w:rsidRPr="00B20606">
        <w:rPr>
          <w:rFonts w:ascii="Arial" w:hAnsi="Arial" w:cs="Arial"/>
          <w:sz w:val="18"/>
          <w:lang w:val="en-US"/>
        </w:rPr>
        <w:t>geated</w:t>
      </w:r>
      <w:proofErr w:type="spellEnd"/>
      <w:r w:rsidRPr="00B20606">
        <w:rPr>
          <w:rFonts w:ascii="Arial" w:hAnsi="Arial" w:cs="Arial"/>
          <w:sz w:val="18"/>
          <w:lang w:val="en-US"/>
        </w:rPr>
        <w:t xml:space="preserve"> (n=7, pooled from two independent experiments). (B) Surface level of CD83 on bone-marrow derived DCs from CD83</w:t>
      </w:r>
      <w:r w:rsidRPr="00B20606">
        <w:rPr>
          <w:rFonts w:ascii="Arial" w:hAnsi="Arial" w:cs="Arial"/>
          <w:sz w:val="18"/>
          <w:vertAlign w:val="superscript"/>
          <w:lang w:val="en-US"/>
        </w:rPr>
        <w:t>ΔMG</w:t>
      </w:r>
      <w:r w:rsidRPr="00B20606">
        <w:rPr>
          <w:rFonts w:ascii="Arial" w:hAnsi="Arial" w:cs="Arial"/>
          <w:sz w:val="18"/>
          <w:lang w:val="en-US"/>
        </w:rPr>
        <w:t xml:space="preserve"> and CD83wt</w:t>
      </w:r>
      <w:r w:rsidRPr="00B20606">
        <w:rPr>
          <w:rFonts w:ascii="Arial" w:hAnsi="Arial" w:cs="Arial"/>
          <w:sz w:val="18"/>
          <w:vertAlign w:val="superscript"/>
          <w:lang w:val="en-US"/>
        </w:rPr>
        <w:t>Cre</w:t>
      </w:r>
      <w:r w:rsidRPr="00B20606">
        <w:rPr>
          <w:rFonts w:ascii="Arial" w:hAnsi="Arial" w:cs="Arial"/>
          <w:sz w:val="18"/>
          <w:lang w:val="en-US"/>
        </w:rPr>
        <w:t xml:space="preserve"> mice after maturation with 100 ng/ml LPS for 16 h (n=4). (</w:t>
      </w:r>
      <w:proofErr w:type="gramStart"/>
      <w:r w:rsidRPr="00B20606">
        <w:rPr>
          <w:rFonts w:ascii="Arial" w:hAnsi="Arial" w:cs="Arial"/>
          <w:sz w:val="18"/>
          <w:lang w:val="en-US"/>
        </w:rPr>
        <w:t>C,D</w:t>
      </w:r>
      <w:proofErr w:type="gramEnd"/>
      <w:r w:rsidRPr="00B20606">
        <w:rPr>
          <w:rFonts w:ascii="Arial" w:hAnsi="Arial" w:cs="Arial"/>
          <w:sz w:val="18"/>
          <w:lang w:val="en-US"/>
        </w:rPr>
        <w:t xml:space="preserve">) Gene expression analysis in acutely isolated microglia. (E) Percentage of cells positive for </w:t>
      </w:r>
      <w:proofErr w:type="spellStart"/>
      <w:r w:rsidRPr="00B20606">
        <w:rPr>
          <w:rFonts w:ascii="Arial" w:hAnsi="Arial" w:cs="Arial"/>
          <w:sz w:val="18"/>
          <w:lang w:val="en-US"/>
        </w:rPr>
        <w:t>pHrodo</w:t>
      </w:r>
      <w:proofErr w:type="spellEnd"/>
      <w:r w:rsidRPr="00B20606">
        <w:rPr>
          <w:rFonts w:ascii="Arial" w:hAnsi="Arial" w:cs="Arial"/>
          <w:sz w:val="18"/>
          <w:lang w:val="en-US"/>
        </w:rPr>
        <w:t>-coupled myelin after 90 min incubation. Cells were pre-gated on CD11b</w:t>
      </w:r>
      <w:r w:rsidRPr="00B20606">
        <w:rPr>
          <w:rFonts w:ascii="Arial" w:hAnsi="Arial" w:cs="Arial"/>
          <w:sz w:val="18"/>
          <w:vertAlign w:val="superscript"/>
          <w:lang w:val="en-US"/>
        </w:rPr>
        <w:t>+</w:t>
      </w:r>
      <w:r w:rsidRPr="00B20606">
        <w:rPr>
          <w:rFonts w:ascii="Arial" w:hAnsi="Arial" w:cs="Arial"/>
          <w:sz w:val="18"/>
          <w:lang w:val="en-US"/>
        </w:rPr>
        <w:t>/CD45</w:t>
      </w:r>
      <w:r w:rsidRPr="00B20606">
        <w:rPr>
          <w:rFonts w:ascii="Arial" w:hAnsi="Arial" w:cs="Arial"/>
          <w:sz w:val="18"/>
          <w:vertAlign w:val="superscript"/>
          <w:lang w:val="en-US"/>
        </w:rPr>
        <w:t>low</w:t>
      </w:r>
      <w:r w:rsidRPr="00B20606">
        <w:rPr>
          <w:rFonts w:ascii="Arial" w:hAnsi="Arial" w:cs="Arial"/>
          <w:sz w:val="18"/>
          <w:lang w:val="en-US"/>
        </w:rPr>
        <w:t>/CX3CR1</w:t>
      </w:r>
      <w:r w:rsidRPr="00B20606">
        <w:rPr>
          <w:rFonts w:ascii="Arial" w:hAnsi="Arial" w:cs="Arial"/>
          <w:sz w:val="18"/>
          <w:vertAlign w:val="superscript"/>
          <w:lang w:val="en-US"/>
        </w:rPr>
        <w:t>+</w:t>
      </w:r>
      <w:r w:rsidRPr="00B20606">
        <w:rPr>
          <w:rFonts w:ascii="Arial" w:hAnsi="Arial" w:cs="Arial"/>
          <w:sz w:val="18"/>
          <w:lang w:val="en-US"/>
        </w:rPr>
        <w:t xml:space="preserve"> and cells incubated with myelin at 4 °C served as negative controls (n=9, pooled from three independent experiments). Statistically significant differences were determined with Mann-Whitney-U-test for all charts.</w:t>
      </w:r>
    </w:p>
    <w:p w14:paraId="19C08691" w14:textId="77777777" w:rsidR="00A02312" w:rsidRDefault="00A02312" w:rsidP="00A02312">
      <w:pPr>
        <w:rPr>
          <w:lang w:val="en-US"/>
        </w:rPr>
      </w:pPr>
    </w:p>
    <w:p w14:paraId="09F7170F" w14:textId="77777777" w:rsidR="00A02312" w:rsidRDefault="00A02312" w:rsidP="00A02312">
      <w:pPr>
        <w:rPr>
          <w:lang w:val="en-US"/>
        </w:rPr>
      </w:pPr>
    </w:p>
    <w:p w14:paraId="673C5EA2" w14:textId="77777777" w:rsidR="00A02312" w:rsidRPr="00B20606" w:rsidRDefault="00A02312" w:rsidP="00A02312">
      <w:pPr>
        <w:rPr>
          <w:lang w:val="en-US"/>
        </w:rPr>
      </w:pPr>
    </w:p>
    <w:p w14:paraId="120751EF" w14:textId="77777777" w:rsidR="00A02312" w:rsidRPr="006267AB" w:rsidRDefault="00A02312" w:rsidP="00A02312">
      <w:pPr>
        <w:pStyle w:val="Caption"/>
        <w:spacing w:after="0"/>
        <w:jc w:val="both"/>
        <w:rPr>
          <w:rFonts w:ascii="Arial" w:hAnsi="Arial" w:cs="Arial"/>
          <w:b/>
          <w:i w:val="0"/>
          <w:color w:val="auto"/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 wp14:anchorId="3C1656B3" wp14:editId="4008EB64">
            <wp:extent cx="5760720" cy="4078605"/>
            <wp:effectExtent l="0" t="0" r="0" b="0"/>
            <wp:docPr id="10" name="Grafik 10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Diagram, engineering draw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2893">
        <w:rPr>
          <w:rFonts w:ascii="Arial" w:hAnsi="Arial" w:cs="Arial"/>
          <w:b/>
          <w:color w:val="auto"/>
          <w:lang w:val="en-US"/>
        </w:rPr>
        <w:t xml:space="preserve">Supplementary Figure </w:t>
      </w:r>
      <w:r>
        <w:rPr>
          <w:rFonts w:ascii="Arial" w:hAnsi="Arial" w:cs="Arial"/>
          <w:b/>
          <w:color w:val="auto"/>
          <w:lang w:val="en-US"/>
        </w:rPr>
        <w:t>S</w:t>
      </w:r>
      <w:r w:rsidRPr="00F52893">
        <w:rPr>
          <w:rFonts w:ascii="Arial" w:hAnsi="Arial" w:cs="Arial"/>
          <w:b/>
          <w:color w:val="auto"/>
        </w:rPr>
        <w:fldChar w:fldCharType="begin"/>
      </w:r>
      <w:r w:rsidRPr="00F52893">
        <w:rPr>
          <w:rFonts w:ascii="Arial" w:hAnsi="Arial" w:cs="Arial"/>
          <w:b/>
          <w:color w:val="auto"/>
          <w:lang w:val="en-US"/>
        </w:rPr>
        <w:instrText xml:space="preserve"> SEQ Supplementary_Figure \* ARABIC </w:instrText>
      </w:r>
      <w:r w:rsidRPr="00F52893">
        <w:rPr>
          <w:rFonts w:ascii="Arial" w:hAnsi="Arial" w:cs="Arial"/>
          <w:b/>
          <w:color w:val="auto"/>
        </w:rPr>
        <w:fldChar w:fldCharType="separate"/>
      </w:r>
      <w:r>
        <w:rPr>
          <w:rFonts w:ascii="Arial" w:hAnsi="Arial" w:cs="Arial"/>
          <w:b/>
          <w:noProof/>
          <w:color w:val="auto"/>
          <w:lang w:val="en-US"/>
        </w:rPr>
        <w:t>3</w:t>
      </w:r>
      <w:r w:rsidRPr="00F52893">
        <w:rPr>
          <w:rFonts w:ascii="Arial" w:hAnsi="Arial" w:cs="Arial"/>
          <w:b/>
          <w:color w:val="auto"/>
        </w:rPr>
        <w:fldChar w:fldCharType="end"/>
      </w:r>
      <w:r w:rsidRPr="00F52893">
        <w:rPr>
          <w:rFonts w:ascii="Arial" w:hAnsi="Arial" w:cs="Arial"/>
          <w:b/>
          <w:color w:val="auto"/>
          <w:lang w:val="en-US"/>
        </w:rPr>
        <w:t xml:space="preserve">: </w:t>
      </w:r>
      <w:r>
        <w:rPr>
          <w:rFonts w:ascii="Arial" w:hAnsi="Arial" w:cs="Arial"/>
          <w:b/>
          <w:color w:val="auto"/>
          <w:lang w:val="en-US"/>
        </w:rPr>
        <w:t>Analyse</w:t>
      </w:r>
      <w:r w:rsidRPr="006267AB">
        <w:rPr>
          <w:rFonts w:ascii="Arial" w:hAnsi="Arial" w:cs="Arial"/>
          <w:b/>
          <w:color w:val="auto"/>
          <w:lang w:val="en-US"/>
        </w:rPr>
        <w:t>s of CD83</w:t>
      </w:r>
      <w:r w:rsidRPr="006267AB">
        <w:rPr>
          <w:rFonts w:ascii="Arial" w:hAnsi="Arial" w:cs="Arial"/>
          <w:b/>
          <w:color w:val="auto"/>
          <w:vertAlign w:val="superscript"/>
          <w:lang w:val="en-US"/>
        </w:rPr>
        <w:t>ΔMG</w:t>
      </w:r>
      <w:r w:rsidRPr="006267AB">
        <w:rPr>
          <w:rFonts w:ascii="Arial" w:hAnsi="Arial" w:cs="Arial"/>
          <w:b/>
          <w:color w:val="auto"/>
          <w:lang w:val="en-US"/>
        </w:rPr>
        <w:t xml:space="preserve"> mice</w:t>
      </w:r>
      <w:r>
        <w:rPr>
          <w:rFonts w:ascii="Arial" w:hAnsi="Arial" w:cs="Arial"/>
          <w:b/>
          <w:color w:val="auto"/>
          <w:lang w:val="en-US"/>
        </w:rPr>
        <w:t xml:space="preserve"> during EAE</w:t>
      </w:r>
    </w:p>
    <w:p w14:paraId="3DDEF293" w14:textId="77777777" w:rsidR="00A02312" w:rsidRPr="009B70ED" w:rsidRDefault="00A02312" w:rsidP="00A02312">
      <w:pPr>
        <w:jc w:val="both"/>
        <w:rPr>
          <w:rFonts w:ascii="Arial" w:hAnsi="Arial" w:cs="Arial"/>
          <w:lang w:val="en-US"/>
        </w:rPr>
      </w:pPr>
      <w:r w:rsidRPr="00B20606">
        <w:rPr>
          <w:rFonts w:ascii="Arial" w:hAnsi="Arial" w:cs="Arial"/>
          <w:sz w:val="18"/>
          <w:lang w:val="en-US"/>
        </w:rPr>
        <w:t>(A</w:t>
      </w:r>
      <w:r>
        <w:rPr>
          <w:rFonts w:ascii="Arial" w:hAnsi="Arial" w:cs="Arial"/>
          <w:sz w:val="18"/>
          <w:lang w:val="en-US"/>
        </w:rPr>
        <w:t xml:space="preserve">) Expression of </w:t>
      </w:r>
      <w:r w:rsidRPr="007B3F44">
        <w:rPr>
          <w:rFonts w:ascii="Arial" w:hAnsi="Arial" w:cs="Arial"/>
          <w:i/>
          <w:sz w:val="18"/>
          <w:lang w:val="en-US"/>
        </w:rPr>
        <w:t>Cd83</w:t>
      </w:r>
      <w:r>
        <w:rPr>
          <w:rFonts w:ascii="Arial" w:hAnsi="Arial" w:cs="Arial"/>
          <w:sz w:val="18"/>
          <w:lang w:val="en-US"/>
        </w:rPr>
        <w:t xml:space="preserve"> on microglia (left) and MDCs (right) at the peak of disease, </w:t>
      </w:r>
      <w:proofErr w:type="gramStart"/>
      <w:r>
        <w:rPr>
          <w:rFonts w:ascii="Arial" w:hAnsi="Arial" w:cs="Arial"/>
          <w:sz w:val="18"/>
          <w:lang w:val="en-US"/>
        </w:rPr>
        <w:t>i.e.</w:t>
      </w:r>
      <w:proofErr w:type="gramEnd"/>
      <w:r>
        <w:rPr>
          <w:rFonts w:ascii="Arial" w:hAnsi="Arial" w:cs="Arial"/>
          <w:sz w:val="18"/>
          <w:lang w:val="en-US"/>
        </w:rPr>
        <w:t xml:space="preserve"> day 18 </w:t>
      </w:r>
      <w:proofErr w:type="spellStart"/>
      <w:r>
        <w:rPr>
          <w:rFonts w:ascii="Arial" w:hAnsi="Arial" w:cs="Arial"/>
          <w:sz w:val="18"/>
          <w:lang w:val="en-US"/>
        </w:rPr>
        <w:t>p.i.</w:t>
      </w:r>
      <w:proofErr w:type="spellEnd"/>
      <w:r>
        <w:rPr>
          <w:rFonts w:ascii="Arial" w:hAnsi="Arial" w:cs="Arial"/>
          <w:sz w:val="18"/>
          <w:lang w:val="en-US"/>
        </w:rPr>
        <w:t xml:space="preserve"> (n=12, pooled from two independent experiments). (B) Flow cytometric analyses of CD86 and MHC-II on microglia cells at the peak of disease (n=10, pooled from two independent experiments). (</w:t>
      </w:r>
      <w:proofErr w:type="gramStart"/>
      <w:r>
        <w:rPr>
          <w:rFonts w:ascii="Arial" w:hAnsi="Arial" w:cs="Arial"/>
          <w:sz w:val="18"/>
          <w:lang w:val="en-US"/>
        </w:rPr>
        <w:t>C,D</w:t>
      </w:r>
      <w:proofErr w:type="gramEnd"/>
      <w:r>
        <w:rPr>
          <w:rFonts w:ascii="Arial" w:hAnsi="Arial" w:cs="Arial"/>
          <w:sz w:val="18"/>
          <w:lang w:val="en-US"/>
        </w:rPr>
        <w:t xml:space="preserve">) Expression levels of (C) </w:t>
      </w:r>
      <w:r w:rsidRPr="00063C3B">
        <w:rPr>
          <w:rFonts w:ascii="Arial" w:hAnsi="Arial" w:cs="Arial"/>
          <w:i/>
          <w:sz w:val="18"/>
          <w:lang w:val="en-US"/>
        </w:rPr>
        <w:t>Ccl3</w:t>
      </w:r>
      <w:r>
        <w:rPr>
          <w:rFonts w:ascii="Arial" w:hAnsi="Arial" w:cs="Arial"/>
          <w:sz w:val="18"/>
          <w:lang w:val="en-US"/>
        </w:rPr>
        <w:t xml:space="preserve"> and (D) </w:t>
      </w:r>
      <w:r w:rsidRPr="00063C3B">
        <w:rPr>
          <w:rFonts w:ascii="Arial" w:hAnsi="Arial" w:cs="Arial"/>
          <w:i/>
          <w:sz w:val="18"/>
          <w:lang w:val="en-US"/>
        </w:rPr>
        <w:t>Msr1</w:t>
      </w:r>
      <w:r>
        <w:rPr>
          <w:rFonts w:ascii="Arial" w:hAnsi="Arial" w:cs="Arial"/>
          <w:sz w:val="18"/>
          <w:lang w:val="en-US"/>
        </w:rPr>
        <w:t xml:space="preserve"> on microglia at the peak of disease. (E) Chemokine expression on MDCs at the peak of disease. (F) Percentage of GM-CSF (left) and IL-17A (right) producing T cells. Single cell suspensions of EAE-CNS were </w:t>
      </w:r>
      <w:r>
        <w:rPr>
          <w:rFonts w:ascii="Arial" w:hAnsi="Arial" w:cs="Arial"/>
          <w:sz w:val="18"/>
          <w:szCs w:val="18"/>
          <w:lang w:val="en-US"/>
        </w:rPr>
        <w:t xml:space="preserve">re-stimulated with PMA/ionomycin for 5 h in the presence of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golgi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transport inhibitors and intracellularly stained for</w:t>
      </w:r>
      <w:r w:rsidRPr="00063C3B">
        <w:rPr>
          <w:rFonts w:ascii="Arial" w:hAnsi="Arial" w:cs="Arial"/>
          <w:noProof/>
          <w:lang w:val="en-US"/>
        </w:rPr>
        <w:t xml:space="preserve"> </w:t>
      </w:r>
      <w:r w:rsidRPr="00063C3B">
        <w:rPr>
          <w:rFonts w:ascii="Arial" w:hAnsi="Arial" w:cs="Arial"/>
          <w:noProof/>
          <w:sz w:val="18"/>
          <w:lang w:val="en-US"/>
        </w:rPr>
        <w:t>GM-CSF and IL-17A</w:t>
      </w:r>
      <w:r>
        <w:rPr>
          <w:rFonts w:ascii="Arial" w:hAnsi="Arial" w:cs="Arial"/>
          <w:noProof/>
          <w:sz w:val="18"/>
          <w:lang w:val="en-US"/>
        </w:rPr>
        <w:t xml:space="preserve"> (n=10-11, pooled from two independent experiments). (F) Proportions of CD25</w:t>
      </w:r>
      <w:r>
        <w:rPr>
          <w:rFonts w:ascii="Arial" w:hAnsi="Arial" w:cs="Arial"/>
          <w:noProof/>
          <w:sz w:val="18"/>
          <w:vertAlign w:val="superscript"/>
          <w:lang w:val="en-US"/>
        </w:rPr>
        <w:t>+</w:t>
      </w:r>
      <w:r>
        <w:rPr>
          <w:rFonts w:ascii="Arial" w:hAnsi="Arial" w:cs="Arial"/>
          <w:noProof/>
          <w:sz w:val="18"/>
          <w:lang w:val="en-US"/>
        </w:rPr>
        <w:t>FoxP3</w:t>
      </w:r>
      <w:r>
        <w:rPr>
          <w:rFonts w:ascii="Arial" w:hAnsi="Arial" w:cs="Arial"/>
          <w:noProof/>
          <w:sz w:val="18"/>
          <w:vertAlign w:val="superscript"/>
          <w:lang w:val="en-US"/>
        </w:rPr>
        <w:t>+</w:t>
      </w:r>
      <w:r>
        <w:rPr>
          <w:rFonts w:ascii="Arial" w:hAnsi="Arial" w:cs="Arial"/>
          <w:noProof/>
          <w:sz w:val="18"/>
          <w:lang w:val="en-US"/>
        </w:rPr>
        <w:t xml:space="preserve"> Tregs and IFN-γ producing T cells in the inguinal draining lymph nodes of EAE animals at the peak of disease (n=10-11, pooled from two independent experiments). (H) Gene expression of spinal cords at the peak of disease (n=10-11, pooled from two independent experiments).</w:t>
      </w:r>
      <w:r w:rsidRPr="005E2D7C">
        <w:rPr>
          <w:rFonts w:ascii="Arial" w:hAnsi="Arial" w:cs="Arial"/>
          <w:sz w:val="18"/>
          <w:lang w:val="en-US"/>
        </w:rPr>
        <w:t xml:space="preserve"> </w:t>
      </w:r>
      <w:r w:rsidRPr="00B20606">
        <w:rPr>
          <w:rFonts w:ascii="Arial" w:hAnsi="Arial" w:cs="Arial"/>
          <w:sz w:val="18"/>
          <w:lang w:val="en-US"/>
        </w:rPr>
        <w:t>Statistically significant differences were determined with Mann-Whitney-U-test for all charts.</w:t>
      </w:r>
      <w:r w:rsidRPr="009B70ED">
        <w:rPr>
          <w:rFonts w:ascii="Arial" w:hAnsi="Arial" w:cs="Arial"/>
          <w:noProof/>
        </w:rPr>
        <w:fldChar w:fldCharType="begin"/>
      </w:r>
      <w:r w:rsidRPr="006267AB">
        <w:rPr>
          <w:rFonts w:ascii="Arial" w:hAnsi="Arial" w:cs="Arial"/>
          <w:lang w:val="en-US"/>
        </w:rPr>
        <w:instrText xml:space="preserve"> ADDIN EN.REFLIST </w:instrText>
      </w:r>
      <w:r w:rsidRPr="009B70ED">
        <w:rPr>
          <w:rFonts w:ascii="Arial" w:hAnsi="Arial" w:cs="Arial"/>
          <w:noProof/>
        </w:rPr>
        <w:fldChar w:fldCharType="end"/>
      </w:r>
    </w:p>
    <w:p w14:paraId="05758A0F" w14:textId="77777777" w:rsidR="00A65A8A" w:rsidRDefault="00A65A8A"/>
    <w:sectPr w:rsidR="00A65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12"/>
    <w:rsid w:val="00A02312"/>
    <w:rsid w:val="00A6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BF700"/>
  <w15:chartTrackingRefBased/>
  <w15:docId w15:val="{C306AD7F-4C85-4314-B895-89D78587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312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0231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2022-11-10T23:29:00Z</dcterms:created>
  <dcterms:modified xsi:type="dcterms:W3CDTF">2022-11-10T23:29:00Z</dcterms:modified>
</cp:coreProperties>
</file>