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Heading1"/>
        <w:spacing w:lineRule="auto" w:line="240" w:before="400" w:after="120"/>
        <w:rPr/>
      </w:pPr>
      <w:bookmarkStart w:id="0" w:name="_7ukm084v9lem"/>
      <w:bookmarkEnd w:id="0"/>
      <w:r>
        <w:rPr/>
        <w:t>Supplementary Results</w:t>
      </w:r>
    </w:p>
    <w:p>
      <w:pPr>
        <w:pStyle w:val="Heading2"/>
        <w:spacing w:lineRule="auto" w:line="240"/>
        <w:rPr/>
      </w:pPr>
      <w:bookmarkStart w:id="1" w:name="_d26g3e2y0js7"/>
      <w:bookmarkEnd w:id="1"/>
      <w:r>
        <w:rPr/>
        <w:t>Duplex reads</w:t>
      </w:r>
    </w:p>
    <w:p>
      <w:pPr>
        <w:pStyle w:val="Normal1"/>
        <w:spacing w:lineRule="auto" w:line="240"/>
        <w:rPr/>
      </w:pPr>
      <w:r>
        <w:rPr/>
        <w:t>After basecalling the Guppy-6-R10 library consisted of 32.85 Gbp of sequence in 2,376,108 reads of which 1.77 Gbp (5.38%) of sequence in 133,969 reads (5.64%) were identified as duplex reads. Alignment of Guppy-duplex reads to the pseudo-haploid HiFi genome was highly unsuccessful, only 0.16% of duplex reads aligned. To determine if template and complement reads were correctly paired and combined into duplex reads we aligned all duplex read pairs and calculated percent similarity. Read pairs were found to be highly similar (81.9% had +90% sequence similarity), indicating that read pairs were likely to have been correctly identified. Additionally, we attempted to align duplex reads to the HiFi genome with an alternative long-read aligner, NGMLR [</w:t>
      </w:r>
      <w:r>
        <w:rPr>
          <w:position w:val="0"/>
          <w:sz w:val="22"/>
          <w:vertAlign w:val="baseline"/>
        </w:rPr>
        <w:t>1</w:t>
      </w:r>
      <w:r>
        <w:rPr/>
        <w:t>]. NGMLR achieved a similarly low alignment rate. As too few duplex reads aligned to the HiFi genome we can not assess duplex read accuracy.</w:t>
      </w:r>
    </w:p>
    <w:p>
      <w:pPr>
        <w:pStyle w:val="Normal1"/>
        <w:spacing w:lineRule="auto" w:line="240"/>
        <w:rPr/>
      </w:pPr>
      <w:r>
        <w:rPr/>
      </w:r>
    </w:p>
    <w:p>
      <w:pPr>
        <w:pStyle w:val="Normal1"/>
        <w:spacing w:lineRule="auto" w:line="240"/>
        <w:rPr/>
      </w:pPr>
      <w:r>
        <w:rPr/>
      </w:r>
    </w:p>
    <w:tbl>
      <w:tblPr>
        <w:tblStyle w:val="Table1"/>
        <w:tblW w:w="9019" w:type="dxa"/>
        <w:jc w:val="left"/>
        <w:tblInd w:w="0" w:type="dxa"/>
        <w:tblCellMar>
          <w:top w:w="17" w:type="dxa"/>
          <w:left w:w="17" w:type="dxa"/>
          <w:bottom w:w="17" w:type="dxa"/>
          <w:right w:w="17" w:type="dxa"/>
        </w:tblCellMar>
        <w:tblLook w:val="0600"/>
      </w:tblPr>
      <w:tblGrid>
        <w:gridCol w:w="1230"/>
        <w:gridCol w:w="1800"/>
        <w:gridCol w:w="1785"/>
        <w:gridCol w:w="1665"/>
        <w:gridCol w:w="1058"/>
        <w:gridCol w:w="1480"/>
      </w:tblGrid>
      <w:tr>
        <w:trPr>
          <w:trHeight w:val="60" w:hRule="atLeast"/>
        </w:trPr>
        <w:tc>
          <w:tcPr>
            <w:tcW w:w="123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b/>
                <w:b/>
              </w:rPr>
            </w:pPr>
            <w:r>
              <w:rPr>
                <w:b/>
              </w:rPr>
              <w:t>Quality metric</w:t>
            </w:r>
          </w:p>
        </w:tc>
        <w:tc>
          <w:tcPr>
            <w:tcW w:w="180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b/>
                <w:b/>
              </w:rPr>
            </w:pPr>
            <w:r>
              <w:rPr>
                <w:b/>
              </w:rPr>
              <w:t>Basecaller model</w:t>
            </w:r>
          </w:p>
        </w:tc>
        <w:tc>
          <w:tcPr>
            <w:tcW w:w="178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b/>
                <w:b/>
              </w:rPr>
            </w:pPr>
            <w:r>
              <w:rPr>
                <w:b/>
              </w:rPr>
              <w:t>Read quality scores</w:t>
            </w:r>
          </w:p>
        </w:tc>
        <w:tc>
          <w:tcPr>
            <w:tcW w:w="166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b/>
                <w:b/>
              </w:rPr>
            </w:pPr>
            <w:r>
              <w:rPr>
                <w:b/>
              </w:rPr>
              <w:t>Read Identity</w:t>
            </w:r>
          </w:p>
        </w:tc>
        <w:tc>
          <w:tcPr>
            <w:tcW w:w="1058"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b/>
                <w:b/>
              </w:rPr>
            </w:pPr>
            <w:r>
              <w:rPr>
                <w:b/>
              </w:rPr>
              <w:t>Read N50 (Kbp)</w:t>
            </w:r>
          </w:p>
        </w:tc>
        <w:tc>
          <w:tcPr>
            <w:tcW w:w="148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b/>
                <w:b/>
              </w:rPr>
            </w:pPr>
            <w:r>
              <w:rPr>
                <w:b/>
              </w:rPr>
              <w:t>Average read length (Kbp)</w:t>
            </w:r>
          </w:p>
        </w:tc>
      </w:tr>
      <w:tr>
        <w:trPr>
          <w:trHeight w:val="300" w:hRule="atLeast"/>
        </w:trPr>
        <w:tc>
          <w:tcPr>
            <w:tcW w:w="1230" w:type="dxa"/>
            <w:vMerge w:val="restart"/>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pPr>
            <w:r>
              <w:rPr/>
              <w:t>Percent</w:t>
            </w:r>
          </w:p>
        </w:tc>
        <w:tc>
          <w:tcPr>
            <w:tcW w:w="180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rPr/>
            </w:pPr>
            <w:r>
              <w:rPr/>
              <w:t>Guppy-duplex</w:t>
            </w:r>
          </w:p>
        </w:tc>
        <w:tc>
          <w:tcPr>
            <w:tcW w:w="178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89.81% ± 0.57%</w:t>
            </w:r>
          </w:p>
        </w:tc>
        <w:tc>
          <w:tcPr>
            <w:tcW w:w="166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95.32% ± 5.29%</w:t>
            </w:r>
          </w:p>
        </w:tc>
        <w:tc>
          <w:tcPr>
            <w:tcW w:w="1058"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18.03</w:t>
            </w:r>
          </w:p>
        </w:tc>
        <w:tc>
          <w:tcPr>
            <w:tcW w:w="148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13.19 ± 9.07</w:t>
            </w:r>
          </w:p>
        </w:tc>
      </w:tr>
      <w:tr>
        <w:trPr>
          <w:trHeight w:val="280" w:hRule="atLeast"/>
        </w:trPr>
        <w:tc>
          <w:tcPr>
            <w:tcW w:w="1230" w:type="dxa"/>
            <w:vMerge w:val="continue"/>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before="0" w:after="0"/>
              <w:ind w:left="0" w:hanging="0"/>
              <w:jc w:val="center"/>
              <w:rPr>
                <w:sz w:val="20"/>
                <w:szCs w:val="20"/>
              </w:rPr>
            </w:pPr>
            <w:r>
              <w:rPr>
                <w:sz w:val="20"/>
                <w:szCs w:val="20"/>
              </w:rPr>
            </w:r>
          </w:p>
        </w:tc>
        <w:tc>
          <w:tcPr>
            <w:tcW w:w="180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rPr/>
            </w:pPr>
            <w:r>
              <w:rPr/>
              <w:t>Simplex-of-duplex</w:t>
            </w:r>
          </w:p>
        </w:tc>
        <w:tc>
          <w:tcPr>
            <w:tcW w:w="178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87.13% ± 0.84%</w:t>
            </w:r>
          </w:p>
        </w:tc>
        <w:tc>
          <w:tcPr>
            <w:tcW w:w="166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97.21% ± 3.23%</w:t>
            </w:r>
          </w:p>
        </w:tc>
        <w:tc>
          <w:tcPr>
            <w:tcW w:w="1058"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23.81</w:t>
            </w:r>
          </w:p>
        </w:tc>
        <w:tc>
          <w:tcPr>
            <w:tcW w:w="148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17.39 ± 12.81</w:t>
            </w:r>
          </w:p>
        </w:tc>
      </w:tr>
      <w:tr>
        <w:trPr>
          <w:trHeight w:val="280" w:hRule="atLeast"/>
        </w:trPr>
        <w:tc>
          <w:tcPr>
            <w:tcW w:w="1230" w:type="dxa"/>
            <w:vMerge w:val="restart"/>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pPr>
            <w:r>
              <w:rPr/>
              <w:t>Phred score</w:t>
            </w:r>
          </w:p>
        </w:tc>
        <w:tc>
          <w:tcPr>
            <w:tcW w:w="180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rPr/>
            </w:pPr>
            <w:r>
              <w:rPr/>
              <w:t>Guppy-duplex</w:t>
            </w:r>
          </w:p>
        </w:tc>
        <w:tc>
          <w:tcPr>
            <w:tcW w:w="178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9.93 ± 0.26</w:t>
            </w:r>
          </w:p>
        </w:tc>
        <w:tc>
          <w:tcPr>
            <w:tcW w:w="166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27.99 ± 22.02</w:t>
            </w:r>
          </w:p>
        </w:tc>
        <w:tc>
          <w:tcPr>
            <w:tcW w:w="1058"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pPr>
            <w:r>
              <w:rPr/>
              <w:t>---</w:t>
            </w:r>
          </w:p>
        </w:tc>
        <w:tc>
          <w:tcPr>
            <w:tcW w:w="148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pPr>
            <w:r>
              <w:rPr/>
              <w:t>---</w:t>
            </w:r>
          </w:p>
        </w:tc>
      </w:tr>
      <w:tr>
        <w:trPr>
          <w:trHeight w:val="280" w:hRule="atLeast"/>
        </w:trPr>
        <w:tc>
          <w:tcPr>
            <w:tcW w:w="1230" w:type="dxa"/>
            <w:vMerge w:val="continue"/>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before="0" w:after="0"/>
              <w:ind w:left="0" w:hanging="0"/>
              <w:jc w:val="center"/>
              <w:rPr>
                <w:sz w:val="20"/>
                <w:szCs w:val="20"/>
              </w:rPr>
            </w:pPr>
            <w:r>
              <w:rPr>
                <w:sz w:val="20"/>
                <w:szCs w:val="20"/>
              </w:rPr>
            </w:r>
          </w:p>
        </w:tc>
        <w:tc>
          <w:tcPr>
            <w:tcW w:w="180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rPr/>
            </w:pPr>
            <w:r>
              <w:rPr/>
              <w:t>Simplex of duplex</w:t>
            </w:r>
          </w:p>
        </w:tc>
        <w:tc>
          <w:tcPr>
            <w:tcW w:w="178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8.91 ± 0.28</w:t>
            </w:r>
          </w:p>
        </w:tc>
        <w:tc>
          <w:tcPr>
            <w:tcW w:w="166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right"/>
              <w:rPr/>
            </w:pPr>
            <w:r>
              <w:rPr/>
              <w:t>17.81 ± 4.94</w:t>
            </w:r>
          </w:p>
        </w:tc>
        <w:tc>
          <w:tcPr>
            <w:tcW w:w="1058"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pPr>
            <w:r>
              <w:rPr/>
              <w:t>---</w:t>
            </w:r>
          </w:p>
        </w:tc>
        <w:tc>
          <w:tcPr>
            <w:tcW w:w="148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pPr>
            <w:r>
              <w:rPr/>
              <w:t>---</w:t>
            </w:r>
          </w:p>
        </w:tc>
      </w:tr>
    </w:tbl>
    <w:p>
      <w:pPr>
        <w:pStyle w:val="Normal1"/>
        <w:spacing w:lineRule="auto" w:line="240"/>
        <w:rPr/>
      </w:pPr>
      <w:r>
        <w:rPr>
          <w:b/>
        </w:rPr>
        <w:t>R10.4 read library quality statistics.</w:t>
      </w:r>
      <w:r>
        <w:rPr/>
        <w:t xml:space="preserve"> Average read quality scores and read identity for Duplex </w:t>
      </w:r>
      <w:r>
        <w:rPr>
          <w:i/>
        </w:rPr>
        <w:t>P. stellatum</w:t>
      </w:r>
      <w:r>
        <w:rPr/>
        <w:t xml:space="preserve"> R10.4 read library and the simplex reads that were collapsed into duplex reads. Average read quality scores were calculated per read, and the overall average calculated. Read identity is calculated per read against the HiFi genome and averaged. Note: only 212 duplex reads aligned to </w:t>
      </w:r>
      <w:r>
        <w:rPr>
          <w:i/>
        </w:rPr>
        <w:t>P. stellatum’s</w:t>
      </w:r>
      <w:r>
        <w:rPr/>
        <w:t xml:space="preserve"> HiFi genome, statistics for Guppy-duplex and </w:t>
      </w:r>
      <w:r>
        <w:rPr>
          <w:sz w:val="20"/>
          <w:szCs w:val="20"/>
        </w:rPr>
        <w:t>Simplex-of-duplex</w:t>
      </w:r>
      <w:r>
        <w:rPr/>
        <w:t xml:space="preserve"> should be viewed with caution. Averages are shown with standard deviations.</w:t>
      </w:r>
    </w:p>
    <w:p>
      <w:pPr>
        <w:pStyle w:val="Normal1"/>
        <w:spacing w:lineRule="auto" w:line="240"/>
        <w:rPr/>
      </w:pPr>
      <w:r>
        <w:rPr/>
      </w:r>
    </w:p>
    <w:p>
      <w:pPr>
        <w:pStyle w:val="Heading2"/>
        <w:spacing w:lineRule="auto" w:line="240"/>
        <w:rPr/>
      </w:pPr>
      <w:bookmarkStart w:id="2" w:name="_x971eg9dh94x"/>
      <w:bookmarkEnd w:id="2"/>
      <w:r>
        <w:rPr/>
        <w:t>R10.4 read pair analysis</w:t>
      </w:r>
    </w:p>
    <w:p>
      <w:pPr>
        <w:pStyle w:val="Normal1"/>
        <w:spacing w:lineRule="auto" w:line="240"/>
        <w:rPr/>
      </w:pPr>
      <w:r>
        <w:rPr/>
        <w:t>Produced by the duplex basecalling pipeline is a read pair text file, which lists read pair names (template and complement strands). Read pairs were extracted from the library fastq file and percent of aligned bases calculated with MUMmer [</w:t>
      </w:r>
      <w:r>
        <w:rPr>
          <w:position w:val="0"/>
          <w:sz w:val="22"/>
          <w:vertAlign w:val="baseline"/>
        </w:rPr>
        <w:t>2</w:t>
      </w:r>
      <w:r>
        <w:rPr/>
        <w:t>]. Statistics (average, standard deviation, and percent above 90%) were calculated within bash.</w:t>
      </w:r>
    </w:p>
    <w:p>
      <w:pPr>
        <w:pStyle w:val="Heading2"/>
        <w:spacing w:lineRule="auto" w:line="240"/>
        <w:rPr/>
      </w:pPr>
      <w:bookmarkStart w:id="3" w:name="_mp4n0p9uqfm0"/>
      <w:bookmarkEnd w:id="3"/>
      <w:r>
        <w:rPr/>
        <w:t>References</w:t>
      </w:r>
    </w:p>
    <w:p>
      <w:pPr>
        <w:pStyle w:val="Normal1"/>
        <w:keepNext w:val="false"/>
        <w:keepLines w:val="false"/>
        <w:pageBreakBefore w:val="false"/>
        <w:widowControl w:val="false"/>
        <w:pBdr/>
        <w:shd w:val="clear" w:fill="auto"/>
        <w:spacing w:lineRule="auto" w:line="240" w:before="0" w:after="0"/>
        <w:ind w:left="384" w:right="0" w:hanging="384"/>
        <w:jc w:val="left"/>
        <w:rPr/>
      </w:pPr>
      <w:r>
        <w:rPr>
          <w:position w:val="0"/>
          <w:sz w:val="22"/>
          <w:vertAlign w:val="baseline"/>
        </w:rPr>
        <w:t xml:space="preserve">1. </w:t>
        <w:tab/>
        <w:t>Sedlazeck FJ, Rescheneder P, Smolka M, Fang H, Nattestad M, von Haeseler A, et al. Accurate detection of complex structural variations using single-molecule sequencing. Nat Methods. 2018 Jun;15(6):461–8.</w:t>
      </w:r>
    </w:p>
    <w:p>
      <w:pPr>
        <w:pStyle w:val="Normal1"/>
        <w:keepNext w:val="false"/>
        <w:keepLines w:val="false"/>
        <w:pageBreakBefore w:val="false"/>
        <w:widowControl w:val="false"/>
        <w:pBdr/>
        <w:shd w:val="clear" w:fill="auto"/>
        <w:spacing w:lineRule="auto" w:line="240" w:before="0" w:after="0"/>
        <w:ind w:left="384" w:right="0" w:hanging="384"/>
        <w:jc w:val="left"/>
        <w:rPr/>
      </w:pPr>
      <w:r>
        <w:rPr>
          <w:position w:val="0"/>
          <w:sz w:val="22"/>
          <w:vertAlign w:val="baseline"/>
        </w:rPr>
        <w:t xml:space="preserve">2. </w:t>
        <w:tab/>
        <w:t>Marçais G, Delcher AL, Phillippy AM, Coston R, Salzberg SL, Zimin A. MUMmer4: A fast and versatile genome alignment system. Darling AE, editor. PLOS Comput Biol. 2018 Jan 26;14(1):e1005944.</w:t>
      </w:r>
    </w:p>
    <w:p>
      <w:pPr>
        <w:pStyle w:val="Normal1"/>
        <w:spacing w:lineRule="auto" w:line="240"/>
        <w:rPr/>
      </w:pPr>
      <w:r>
        <w:rPr/>
      </w:r>
      <w:r>
        <w:br w:type="page"/>
      </w:r>
    </w:p>
    <w:p>
      <w:pPr>
        <w:pStyle w:val="Normal1"/>
        <w:spacing w:lineRule="auto" w:line="240"/>
        <w:rPr/>
      </w:pPr>
      <w:r>
        <w:rPr/>
      </w:r>
    </w:p>
    <w:tbl>
      <w:tblPr>
        <w:tblStyle w:val="Table2"/>
        <w:tblW w:w="7860" w:type="dxa"/>
        <w:jc w:val="center"/>
        <w:tblInd w:w="0" w:type="dxa"/>
        <w:tblCellMar>
          <w:top w:w="40" w:type="dxa"/>
          <w:left w:w="40" w:type="dxa"/>
          <w:bottom w:w="40" w:type="dxa"/>
          <w:right w:w="40" w:type="dxa"/>
        </w:tblCellMar>
        <w:tblLook w:val="0600"/>
      </w:tblPr>
      <w:tblGrid>
        <w:gridCol w:w="1874"/>
        <w:gridCol w:w="1410"/>
        <w:gridCol w:w="1635"/>
        <w:gridCol w:w="1215"/>
        <w:gridCol w:w="1726"/>
      </w:tblGrid>
      <w:tr>
        <w:trPr>
          <w:trHeight w:val="219" w:hRule="atLeast"/>
        </w:trPr>
        <w:tc>
          <w:tcPr>
            <w:tcW w:w="1874"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rPr>
                <w:b/>
                <w:b/>
                <w:i/>
                <w:i/>
                <w:sz w:val="20"/>
                <w:szCs w:val="20"/>
              </w:rPr>
            </w:pPr>
            <w:r>
              <w:rPr>
                <w:b/>
                <w:i/>
                <w:sz w:val="20"/>
                <w:szCs w:val="20"/>
              </w:rPr>
            </w:r>
          </w:p>
        </w:tc>
        <w:tc>
          <w:tcPr>
            <w:tcW w:w="3045" w:type="dxa"/>
            <w:gridSpan w:val="2"/>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i/>
                <w:i/>
                <w:sz w:val="20"/>
                <w:szCs w:val="20"/>
              </w:rPr>
            </w:pPr>
            <w:r>
              <w:rPr>
                <w:b/>
                <w:i/>
                <w:sz w:val="20"/>
                <w:szCs w:val="20"/>
              </w:rPr>
              <w:t>X. johnsonii</w:t>
            </w:r>
          </w:p>
        </w:tc>
        <w:tc>
          <w:tcPr>
            <w:tcW w:w="2941" w:type="dxa"/>
            <w:gridSpan w:val="2"/>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i/>
                <w:i/>
                <w:sz w:val="20"/>
                <w:szCs w:val="20"/>
              </w:rPr>
            </w:pPr>
            <w:r>
              <w:rPr>
                <w:b/>
                <w:i/>
                <w:sz w:val="20"/>
                <w:szCs w:val="20"/>
              </w:rPr>
              <w:t>P. stellatum</w:t>
            </w:r>
          </w:p>
        </w:tc>
      </w:tr>
      <w:tr>
        <w:trPr>
          <w:trHeight w:val="240" w:hRule="atLeast"/>
        </w:trPr>
        <w:tc>
          <w:tcPr>
            <w:tcW w:w="1874"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r>
          </w:p>
        </w:tc>
        <w:tc>
          <w:tcPr>
            <w:tcW w:w="141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sz w:val="20"/>
                <w:szCs w:val="20"/>
              </w:rPr>
            </w:pPr>
            <w:r>
              <w:rPr>
                <w:sz w:val="20"/>
                <w:szCs w:val="20"/>
              </w:rPr>
              <w:t>Raw reads</w:t>
            </w:r>
          </w:p>
        </w:tc>
        <w:tc>
          <w:tcPr>
            <w:tcW w:w="163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sz w:val="20"/>
                <w:szCs w:val="20"/>
              </w:rPr>
            </w:pPr>
            <w:r>
              <w:rPr>
                <w:sz w:val="20"/>
                <w:szCs w:val="20"/>
              </w:rPr>
              <w:t>Assembly reads</w:t>
            </w:r>
          </w:p>
        </w:tc>
        <w:tc>
          <w:tcPr>
            <w:tcW w:w="121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sz w:val="20"/>
                <w:szCs w:val="20"/>
              </w:rPr>
            </w:pPr>
            <w:r>
              <w:rPr>
                <w:sz w:val="20"/>
                <w:szCs w:val="20"/>
              </w:rPr>
              <w:t>Raw reads</w:t>
            </w:r>
          </w:p>
        </w:tc>
        <w:tc>
          <w:tcPr>
            <w:tcW w:w="172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sz w:val="20"/>
                <w:szCs w:val="20"/>
              </w:rPr>
            </w:pPr>
            <w:r>
              <w:rPr>
                <w:sz w:val="20"/>
                <w:szCs w:val="20"/>
              </w:rPr>
              <w:t>Assembly reads</w:t>
            </w:r>
          </w:p>
        </w:tc>
      </w:tr>
      <w:tr>
        <w:trPr>
          <w:trHeight w:val="249" w:hRule="atLeast"/>
        </w:trPr>
        <w:tc>
          <w:tcPr>
            <w:tcW w:w="1874"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n50 (Kbp)</w:t>
            </w:r>
          </w:p>
        </w:tc>
        <w:tc>
          <w:tcPr>
            <w:tcW w:w="141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19.79</w:t>
            </w:r>
          </w:p>
        </w:tc>
        <w:tc>
          <w:tcPr>
            <w:tcW w:w="163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19.61</w:t>
            </w:r>
          </w:p>
        </w:tc>
        <w:tc>
          <w:tcPr>
            <w:tcW w:w="121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19.98</w:t>
            </w:r>
          </w:p>
        </w:tc>
        <w:tc>
          <w:tcPr>
            <w:tcW w:w="172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19.81</w:t>
            </w:r>
          </w:p>
        </w:tc>
      </w:tr>
      <w:tr>
        <w:trPr/>
        <w:tc>
          <w:tcPr>
            <w:tcW w:w="1874"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number</w:t>
            </w:r>
          </w:p>
        </w:tc>
        <w:tc>
          <w:tcPr>
            <w:tcW w:w="141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2,210,350</w:t>
            </w:r>
          </w:p>
        </w:tc>
        <w:tc>
          <w:tcPr>
            <w:tcW w:w="163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1,838,893</w:t>
            </w:r>
          </w:p>
        </w:tc>
        <w:tc>
          <w:tcPr>
            <w:tcW w:w="121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1,131,096</w:t>
            </w:r>
          </w:p>
        </w:tc>
        <w:tc>
          <w:tcPr>
            <w:tcW w:w="172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956178</w:t>
            </w:r>
          </w:p>
        </w:tc>
      </w:tr>
      <w:tr>
        <w:trPr>
          <w:trHeight w:val="174" w:hRule="atLeast"/>
        </w:trPr>
        <w:tc>
          <w:tcPr>
            <w:tcW w:w="1874"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longest (Kbp)</w:t>
            </w:r>
          </w:p>
        </w:tc>
        <w:tc>
          <w:tcPr>
            <w:tcW w:w="141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53.79</w:t>
            </w:r>
          </w:p>
        </w:tc>
        <w:tc>
          <w:tcPr>
            <w:tcW w:w="163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49.37</w:t>
            </w:r>
          </w:p>
        </w:tc>
        <w:tc>
          <w:tcPr>
            <w:tcW w:w="121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53.04</w:t>
            </w:r>
          </w:p>
        </w:tc>
        <w:tc>
          <w:tcPr>
            <w:tcW w:w="172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47.17</w:t>
            </w:r>
          </w:p>
        </w:tc>
      </w:tr>
      <w:tr>
        <w:trPr>
          <w:trHeight w:val="39" w:hRule="atLeast"/>
        </w:trPr>
        <w:tc>
          <w:tcPr>
            <w:tcW w:w="1874"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Mean read quality</w:t>
            </w:r>
          </w:p>
        </w:tc>
        <w:tc>
          <w:tcPr>
            <w:tcW w:w="141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29.8</w:t>
            </w:r>
          </w:p>
        </w:tc>
        <w:tc>
          <w:tcPr>
            <w:tcW w:w="163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31.4</w:t>
            </w:r>
          </w:p>
        </w:tc>
        <w:tc>
          <w:tcPr>
            <w:tcW w:w="121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29.4</w:t>
            </w:r>
          </w:p>
        </w:tc>
        <w:tc>
          <w:tcPr>
            <w:tcW w:w="172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30.9</w:t>
            </w:r>
          </w:p>
        </w:tc>
      </w:tr>
      <w:tr>
        <w:trPr>
          <w:trHeight w:val="189" w:hRule="atLeast"/>
        </w:trPr>
        <w:tc>
          <w:tcPr>
            <w:tcW w:w="1874"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Total (Mbp)</w:t>
            </w:r>
          </w:p>
        </w:tc>
        <w:tc>
          <w:tcPr>
            <w:tcW w:w="141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44,056</w:t>
            </w:r>
          </w:p>
        </w:tc>
        <w:tc>
          <w:tcPr>
            <w:tcW w:w="163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36,346</w:t>
            </w:r>
          </w:p>
        </w:tc>
        <w:tc>
          <w:tcPr>
            <w:tcW w:w="121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22,703</w:t>
            </w:r>
          </w:p>
        </w:tc>
        <w:tc>
          <w:tcPr>
            <w:tcW w:w="172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19,045</w:t>
            </w:r>
          </w:p>
        </w:tc>
      </w:tr>
      <w:tr>
        <w:trPr>
          <w:trHeight w:val="120" w:hRule="atLeast"/>
        </w:trPr>
        <w:tc>
          <w:tcPr>
            <w:tcW w:w="1874"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Diploid coverage</w:t>
            </w:r>
          </w:p>
        </w:tc>
        <w:tc>
          <w:tcPr>
            <w:tcW w:w="141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15.3</w:t>
            </w:r>
          </w:p>
        </w:tc>
        <w:tc>
          <w:tcPr>
            <w:tcW w:w="163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12.6</w:t>
            </w:r>
          </w:p>
        </w:tc>
        <w:tc>
          <w:tcPr>
            <w:tcW w:w="121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18.2</w:t>
            </w:r>
          </w:p>
        </w:tc>
        <w:tc>
          <w:tcPr>
            <w:tcW w:w="172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15.3</w:t>
            </w:r>
          </w:p>
        </w:tc>
      </w:tr>
    </w:tbl>
    <w:p>
      <w:pPr>
        <w:pStyle w:val="Normal1"/>
        <w:spacing w:lineRule="auto" w:line="240"/>
        <w:rPr/>
      </w:pPr>
      <w:r>
        <w:rPr>
          <w:b/>
        </w:rPr>
        <w:t>Supplementary Table S1. HiFi read library statistics</w:t>
      </w:r>
      <w:r>
        <w:rPr/>
        <w:t xml:space="preserve">. Statistics for all read libraries before and after filtering. </w:t>
      </w:r>
    </w:p>
    <w:p>
      <w:pPr>
        <w:pStyle w:val="Normal1"/>
        <w:spacing w:lineRule="auto" w:line="240"/>
        <w:rPr/>
      </w:pPr>
      <w:r>
        <w:rPr/>
      </w:r>
    </w:p>
    <w:p>
      <w:pPr>
        <w:pStyle w:val="Normal1"/>
        <w:spacing w:lineRule="auto" w:line="240"/>
        <w:rPr/>
      </w:pPr>
      <w:r>
        <w:rPr/>
      </w:r>
    </w:p>
    <w:tbl>
      <w:tblPr>
        <w:tblStyle w:val="Table3"/>
        <w:tblW w:w="8820" w:type="dxa"/>
        <w:jc w:val="left"/>
        <w:tblInd w:w="0" w:type="dxa"/>
        <w:tblCellMar>
          <w:top w:w="40" w:type="dxa"/>
          <w:left w:w="40" w:type="dxa"/>
          <w:bottom w:w="40" w:type="dxa"/>
          <w:right w:w="40" w:type="dxa"/>
        </w:tblCellMar>
        <w:tblLook w:val="0600"/>
      </w:tblPr>
      <w:tblGrid>
        <w:gridCol w:w="1755"/>
        <w:gridCol w:w="1230"/>
        <w:gridCol w:w="1080"/>
        <w:gridCol w:w="1379"/>
        <w:gridCol w:w="1066"/>
        <w:gridCol w:w="1304"/>
        <w:gridCol w:w="1005"/>
      </w:tblGrid>
      <w:tr>
        <w:trPr>
          <w:trHeight w:val="405" w:hRule="atLeast"/>
        </w:trPr>
        <w:tc>
          <w:tcPr>
            <w:tcW w:w="1755"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rPr/>
            </w:pPr>
            <w:r>
              <w:rPr/>
            </w:r>
          </w:p>
        </w:tc>
        <w:tc>
          <w:tcPr>
            <w:tcW w:w="2310" w:type="dxa"/>
            <w:gridSpan w:val="2"/>
            <w:tcBorders>
              <w:top w:val="single" w:sz="8" w:space="0" w:color="CCCCCC"/>
              <w:left w:val="single" w:sz="8" w:space="0" w:color="CCCCCC"/>
              <w:bottom w:val="single" w:sz="8" w:space="0" w:color="CCCCCC"/>
              <w:right w:val="single" w:sz="8" w:space="0" w:color="CCCCCC"/>
            </w:tcBorders>
            <w:tcMar>
              <w:left w:w="0" w:type="dxa"/>
              <w:right w:w="0" w:type="dxa"/>
            </w:tcMar>
            <w:vAlign w:val="center"/>
          </w:tcPr>
          <w:p>
            <w:pPr>
              <w:pStyle w:val="Normal1"/>
              <w:spacing w:lineRule="auto" w:line="240"/>
              <w:jc w:val="center"/>
              <w:rPr>
                <w:b/>
                <w:b/>
                <w:sz w:val="20"/>
                <w:szCs w:val="20"/>
              </w:rPr>
            </w:pPr>
            <w:r>
              <w:rPr>
                <w:b/>
                <w:i/>
                <w:sz w:val="20"/>
                <w:szCs w:val="20"/>
              </w:rPr>
              <w:t>P. stellatum</w:t>
            </w:r>
            <w:r>
              <w:rPr>
                <w:b/>
                <w:sz w:val="20"/>
                <w:szCs w:val="20"/>
              </w:rPr>
              <w:t xml:space="preserve"> R9.4.1</w:t>
            </w:r>
          </w:p>
        </w:tc>
        <w:tc>
          <w:tcPr>
            <w:tcW w:w="2445" w:type="dxa"/>
            <w:gridSpan w:val="2"/>
            <w:tcBorders>
              <w:top w:val="single" w:sz="8" w:space="0" w:color="CCCCCC"/>
              <w:left w:val="single" w:sz="8" w:space="0" w:color="CCCCCC"/>
              <w:bottom w:val="single" w:sz="8" w:space="0" w:color="CCCCCC"/>
              <w:right w:val="single" w:sz="8" w:space="0" w:color="CCCCCC"/>
            </w:tcBorders>
            <w:shd w:fill="auto" w:val="clear"/>
            <w:tcMar>
              <w:left w:w="0" w:type="dxa"/>
              <w:right w:w="0" w:type="dxa"/>
            </w:tcMar>
            <w:vAlign w:val="center"/>
          </w:tcPr>
          <w:p>
            <w:pPr>
              <w:pStyle w:val="Normal1"/>
              <w:spacing w:lineRule="auto" w:line="240"/>
              <w:jc w:val="center"/>
              <w:rPr>
                <w:b/>
                <w:b/>
                <w:sz w:val="20"/>
                <w:szCs w:val="20"/>
              </w:rPr>
            </w:pPr>
            <w:r>
              <w:rPr>
                <w:b/>
                <w:i/>
                <w:sz w:val="20"/>
                <w:szCs w:val="20"/>
              </w:rPr>
              <w:t>P. stellatum</w:t>
            </w:r>
            <w:r>
              <w:rPr>
                <w:b/>
                <w:sz w:val="20"/>
                <w:szCs w:val="20"/>
              </w:rPr>
              <w:t xml:space="preserve"> R10.4</w:t>
            </w:r>
          </w:p>
        </w:tc>
        <w:tc>
          <w:tcPr>
            <w:tcW w:w="2309" w:type="dxa"/>
            <w:gridSpan w:val="2"/>
            <w:tcBorders>
              <w:top w:val="single" w:sz="8" w:space="0" w:color="CCCCCC"/>
              <w:left w:val="single" w:sz="8" w:space="0" w:color="CCCCCC"/>
              <w:bottom w:val="single" w:sz="8" w:space="0" w:color="CCCCCC"/>
              <w:right w:val="single" w:sz="8" w:space="0" w:color="CCCCCC"/>
            </w:tcBorders>
            <w:shd w:fill="auto" w:val="clear"/>
            <w:tcMar>
              <w:left w:w="0" w:type="dxa"/>
              <w:right w:w="0" w:type="dxa"/>
            </w:tcMar>
            <w:vAlign w:val="center"/>
          </w:tcPr>
          <w:p>
            <w:pPr>
              <w:pStyle w:val="Normal1"/>
              <w:spacing w:lineRule="auto" w:line="240"/>
              <w:jc w:val="center"/>
              <w:rPr>
                <w:b/>
                <w:b/>
                <w:sz w:val="20"/>
                <w:szCs w:val="20"/>
              </w:rPr>
            </w:pPr>
            <w:r>
              <w:rPr>
                <w:b/>
                <w:i/>
                <w:sz w:val="20"/>
                <w:szCs w:val="20"/>
              </w:rPr>
              <w:t>X. johnsonii</w:t>
            </w:r>
            <w:r>
              <w:rPr>
                <w:b/>
                <w:sz w:val="20"/>
                <w:szCs w:val="20"/>
              </w:rPr>
              <w:t xml:space="preserve"> R9.4.1</w:t>
            </w:r>
          </w:p>
        </w:tc>
      </w:tr>
      <w:tr>
        <w:trPr>
          <w:trHeight w:val="405" w:hRule="atLeast"/>
        </w:trPr>
        <w:tc>
          <w:tcPr>
            <w:tcW w:w="1755"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rPr/>
            </w:pPr>
            <w:r>
              <w:rPr/>
            </w:r>
          </w:p>
        </w:tc>
        <w:tc>
          <w:tcPr>
            <w:tcW w:w="1230"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Basecalling</w:t>
            </w:r>
          </w:p>
        </w:tc>
        <w:tc>
          <w:tcPr>
            <w:tcW w:w="1080"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Training</w:t>
            </w:r>
          </w:p>
        </w:tc>
        <w:tc>
          <w:tcPr>
            <w:tcW w:w="1379"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Basecalling</w:t>
            </w:r>
          </w:p>
        </w:tc>
        <w:tc>
          <w:tcPr>
            <w:tcW w:w="1066"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Training</w:t>
            </w:r>
          </w:p>
        </w:tc>
        <w:tc>
          <w:tcPr>
            <w:tcW w:w="1304"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Basecalling</w:t>
            </w:r>
          </w:p>
        </w:tc>
        <w:tc>
          <w:tcPr>
            <w:tcW w:w="1005"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Training</w:t>
            </w:r>
          </w:p>
        </w:tc>
      </w:tr>
      <w:tr>
        <w:trPr>
          <w:trHeight w:val="375" w:hRule="atLeast"/>
        </w:trPr>
        <w:tc>
          <w:tcPr>
            <w:tcW w:w="1755"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Training subset 1</w:t>
            </w:r>
          </w:p>
        </w:tc>
        <w:tc>
          <w:tcPr>
            <w:tcW w:w="1230"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34:02</w:t>
            </w:r>
          </w:p>
        </w:tc>
        <w:tc>
          <w:tcPr>
            <w:tcW w:w="1080"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14:38</w:t>
            </w:r>
          </w:p>
        </w:tc>
        <w:tc>
          <w:tcPr>
            <w:tcW w:w="1379"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31:36</w:t>
            </w:r>
          </w:p>
        </w:tc>
        <w:tc>
          <w:tcPr>
            <w:tcW w:w="1066"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26:27</w:t>
            </w:r>
          </w:p>
        </w:tc>
        <w:tc>
          <w:tcPr>
            <w:tcW w:w="1304"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41:57</w:t>
            </w:r>
          </w:p>
        </w:tc>
        <w:tc>
          <w:tcPr>
            <w:tcW w:w="1005"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25:48</w:t>
            </w:r>
          </w:p>
        </w:tc>
      </w:tr>
      <w:tr>
        <w:trPr>
          <w:trHeight w:val="375" w:hRule="atLeast"/>
        </w:trPr>
        <w:tc>
          <w:tcPr>
            <w:tcW w:w="1755"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Training subset 2</w:t>
            </w:r>
          </w:p>
        </w:tc>
        <w:tc>
          <w:tcPr>
            <w:tcW w:w="1230"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36:13</w:t>
            </w:r>
          </w:p>
        </w:tc>
        <w:tc>
          <w:tcPr>
            <w:tcW w:w="1080"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15:10</w:t>
            </w:r>
          </w:p>
        </w:tc>
        <w:tc>
          <w:tcPr>
            <w:tcW w:w="1379"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29:56</w:t>
            </w:r>
          </w:p>
        </w:tc>
        <w:tc>
          <w:tcPr>
            <w:tcW w:w="1066"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41:58</w:t>
            </w:r>
          </w:p>
        </w:tc>
        <w:tc>
          <w:tcPr>
            <w:tcW w:w="1304"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41:13</w:t>
            </w:r>
          </w:p>
        </w:tc>
        <w:tc>
          <w:tcPr>
            <w:tcW w:w="1005" w:type="dxa"/>
            <w:tcBorders>
              <w:top w:val="single" w:sz="8" w:space="0" w:color="CCCCCC"/>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22:55</w:t>
            </w:r>
          </w:p>
        </w:tc>
      </w:tr>
      <w:tr>
        <w:trPr>
          <w:trHeight w:val="375" w:hRule="atLeast"/>
        </w:trPr>
        <w:tc>
          <w:tcPr>
            <w:tcW w:w="1755" w:type="dxa"/>
            <w:tcBorders>
              <w:top w:val="single" w:sz="8" w:space="0" w:color="CCCCCC"/>
              <w:left w:val="single" w:sz="8" w:space="0" w:color="CCCCCC"/>
              <w:bottom w:val="single" w:sz="8" w:space="0" w:color="434343"/>
              <w:right w:val="single" w:sz="8" w:space="0" w:color="CCCCCC"/>
            </w:tcBorders>
            <w:shd w:fill="auto" w:val="clear"/>
            <w:vAlign w:val="center"/>
          </w:tcPr>
          <w:p>
            <w:pPr>
              <w:pStyle w:val="Normal1"/>
              <w:spacing w:lineRule="auto" w:line="240"/>
              <w:jc w:val="center"/>
              <w:rPr>
                <w:b/>
                <w:b/>
                <w:sz w:val="20"/>
                <w:szCs w:val="20"/>
              </w:rPr>
            </w:pPr>
            <w:r>
              <w:rPr>
                <w:b/>
                <w:sz w:val="20"/>
                <w:szCs w:val="20"/>
              </w:rPr>
              <w:t>Training subset 3</w:t>
            </w:r>
          </w:p>
        </w:tc>
        <w:tc>
          <w:tcPr>
            <w:tcW w:w="1230" w:type="dxa"/>
            <w:tcBorders>
              <w:top w:val="single" w:sz="8" w:space="0" w:color="CCCCCC"/>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36:55</w:t>
            </w:r>
          </w:p>
        </w:tc>
        <w:tc>
          <w:tcPr>
            <w:tcW w:w="1080" w:type="dxa"/>
            <w:tcBorders>
              <w:top w:val="single" w:sz="8" w:space="0" w:color="CCCCCC"/>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14:47</w:t>
            </w:r>
          </w:p>
        </w:tc>
        <w:tc>
          <w:tcPr>
            <w:tcW w:w="1379" w:type="dxa"/>
            <w:tcBorders>
              <w:top w:val="single" w:sz="8" w:space="0" w:color="CCCCCC"/>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26:17</w:t>
            </w:r>
          </w:p>
        </w:tc>
        <w:tc>
          <w:tcPr>
            <w:tcW w:w="1066" w:type="dxa"/>
            <w:tcBorders>
              <w:top w:val="single" w:sz="8" w:space="0" w:color="CCCCCC"/>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42:16</w:t>
            </w:r>
          </w:p>
        </w:tc>
        <w:tc>
          <w:tcPr>
            <w:tcW w:w="1304" w:type="dxa"/>
            <w:tcBorders>
              <w:top w:val="single" w:sz="8" w:space="0" w:color="CCCCCC"/>
              <w:left w:val="single" w:sz="8" w:space="0" w:color="CCCCCC"/>
              <w:bottom w:val="single" w:sz="8" w:space="0" w:color="434343"/>
              <w:right w:val="single" w:sz="8" w:space="0" w:color="CCCCCC"/>
            </w:tcBorders>
            <w:shd w:fill="auto" w:val="clear"/>
            <w:vAlign w:val="center"/>
          </w:tcPr>
          <w:p>
            <w:pPr>
              <w:pStyle w:val="Normal1"/>
              <w:spacing w:lineRule="auto" w:line="240"/>
              <w:jc w:val="center"/>
              <w:rPr>
                <w:sz w:val="20"/>
                <w:szCs w:val="20"/>
              </w:rPr>
            </w:pPr>
            <w:r>
              <w:rPr>
                <w:sz w:val="20"/>
                <w:szCs w:val="20"/>
              </w:rPr>
              <w:t>---</w:t>
            </w:r>
          </w:p>
        </w:tc>
        <w:tc>
          <w:tcPr>
            <w:tcW w:w="1005" w:type="dxa"/>
            <w:tcBorders>
              <w:top w:val="single" w:sz="8" w:space="0" w:color="CCCCCC"/>
              <w:left w:val="single" w:sz="8" w:space="0" w:color="CCCCCC"/>
              <w:bottom w:val="single" w:sz="8" w:space="0" w:color="434343"/>
              <w:right w:val="single" w:sz="8" w:space="0" w:color="CCCCCC"/>
            </w:tcBorders>
            <w:shd w:fill="auto" w:val="clear"/>
            <w:vAlign w:val="center"/>
          </w:tcPr>
          <w:p>
            <w:pPr>
              <w:pStyle w:val="Normal1"/>
              <w:spacing w:lineRule="auto" w:line="240"/>
              <w:jc w:val="center"/>
              <w:rPr>
                <w:sz w:val="20"/>
                <w:szCs w:val="20"/>
              </w:rPr>
            </w:pPr>
            <w:r>
              <w:rPr>
                <w:sz w:val="20"/>
                <w:szCs w:val="20"/>
              </w:rPr>
              <w:t>---</w:t>
            </w:r>
          </w:p>
        </w:tc>
      </w:tr>
      <w:tr>
        <w:trPr>
          <w:trHeight w:val="375" w:hRule="atLeast"/>
        </w:trPr>
        <w:tc>
          <w:tcPr>
            <w:tcW w:w="1755" w:type="dxa"/>
            <w:tcBorders>
              <w:top w:val="single" w:sz="8" w:space="0" w:color="434343"/>
              <w:left w:val="single" w:sz="8" w:space="0" w:color="CCCCCC"/>
              <w:bottom w:val="single" w:sz="8" w:space="0" w:color="434343"/>
              <w:right w:val="single" w:sz="8" w:space="0" w:color="CCCCCC"/>
            </w:tcBorders>
            <w:shd w:fill="auto" w:val="clear"/>
            <w:vAlign w:val="center"/>
          </w:tcPr>
          <w:p>
            <w:pPr>
              <w:pStyle w:val="Normal1"/>
              <w:spacing w:lineRule="auto" w:line="240"/>
              <w:jc w:val="center"/>
              <w:rPr>
                <w:b/>
                <w:b/>
                <w:sz w:val="20"/>
                <w:szCs w:val="20"/>
              </w:rPr>
            </w:pPr>
            <w:r>
              <w:rPr>
                <w:b/>
                <w:sz w:val="20"/>
                <w:szCs w:val="20"/>
              </w:rPr>
              <w:t>Total</w:t>
            </w:r>
          </w:p>
        </w:tc>
        <w:tc>
          <w:tcPr>
            <w:tcW w:w="1230" w:type="dxa"/>
            <w:tcBorders>
              <w:top w:val="single" w:sz="8" w:space="0" w:color="434343"/>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107:10</w:t>
            </w:r>
          </w:p>
        </w:tc>
        <w:tc>
          <w:tcPr>
            <w:tcW w:w="1080" w:type="dxa"/>
            <w:tcBorders>
              <w:top w:val="single" w:sz="8" w:space="0" w:color="434343"/>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44:35</w:t>
            </w:r>
          </w:p>
        </w:tc>
        <w:tc>
          <w:tcPr>
            <w:tcW w:w="1379" w:type="dxa"/>
            <w:tcBorders>
              <w:top w:val="single" w:sz="8" w:space="0" w:color="434343"/>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87:49</w:t>
            </w:r>
          </w:p>
        </w:tc>
        <w:tc>
          <w:tcPr>
            <w:tcW w:w="1066" w:type="dxa"/>
            <w:tcBorders>
              <w:top w:val="single" w:sz="8" w:space="0" w:color="434343"/>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110:41</w:t>
            </w:r>
          </w:p>
        </w:tc>
        <w:tc>
          <w:tcPr>
            <w:tcW w:w="1304" w:type="dxa"/>
            <w:tcBorders>
              <w:top w:val="single" w:sz="8" w:space="0" w:color="434343"/>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83:10</w:t>
            </w:r>
          </w:p>
        </w:tc>
        <w:tc>
          <w:tcPr>
            <w:tcW w:w="1005" w:type="dxa"/>
            <w:tcBorders>
              <w:top w:val="single" w:sz="8" w:space="0" w:color="434343"/>
              <w:left w:val="single" w:sz="8" w:space="0" w:color="CCCCCC"/>
              <w:bottom w:val="single" w:sz="8" w:space="0" w:color="434343"/>
              <w:right w:val="single" w:sz="8" w:space="0" w:color="CCCCCC"/>
            </w:tcBorders>
            <w:shd w:fill="auto" w:val="clear"/>
            <w:vAlign w:val="center"/>
          </w:tcPr>
          <w:p>
            <w:pPr>
              <w:pStyle w:val="Normal1"/>
              <w:spacing w:lineRule="auto" w:line="240"/>
              <w:jc w:val="right"/>
              <w:rPr>
                <w:sz w:val="20"/>
                <w:szCs w:val="20"/>
              </w:rPr>
            </w:pPr>
            <w:r>
              <w:rPr>
                <w:sz w:val="20"/>
                <w:szCs w:val="20"/>
              </w:rPr>
              <w:t>48:43</w:t>
            </w:r>
          </w:p>
        </w:tc>
      </w:tr>
      <w:tr>
        <w:trPr>
          <w:trHeight w:val="405" w:hRule="atLeast"/>
        </w:trPr>
        <w:tc>
          <w:tcPr>
            <w:tcW w:w="1755" w:type="dxa"/>
            <w:tcBorders>
              <w:top w:val="single" w:sz="8" w:space="0" w:color="434343"/>
              <w:left w:val="single" w:sz="8" w:space="0" w:color="CCCCCC"/>
              <w:bottom w:val="single" w:sz="8" w:space="0" w:color="CCCCCC"/>
              <w:right w:val="single" w:sz="8" w:space="0" w:color="CCCCCC"/>
            </w:tcBorders>
            <w:shd w:fill="auto" w:val="clear"/>
            <w:vAlign w:val="center"/>
          </w:tcPr>
          <w:p>
            <w:pPr>
              <w:pStyle w:val="Normal1"/>
              <w:spacing w:lineRule="auto" w:line="240"/>
              <w:jc w:val="center"/>
              <w:rPr>
                <w:b/>
                <w:b/>
                <w:sz w:val="20"/>
                <w:szCs w:val="20"/>
              </w:rPr>
            </w:pPr>
            <w:r>
              <w:rPr>
                <w:b/>
                <w:sz w:val="20"/>
                <w:szCs w:val="20"/>
              </w:rPr>
              <w:t>Grand total</w:t>
            </w:r>
          </w:p>
        </w:tc>
        <w:tc>
          <w:tcPr>
            <w:tcW w:w="1230" w:type="dxa"/>
            <w:tcBorders>
              <w:top w:val="single" w:sz="8" w:space="0" w:color="434343"/>
              <w:left w:val="single" w:sz="8" w:space="0" w:color="CCCCCC"/>
              <w:bottom w:val="single" w:sz="8" w:space="0" w:color="CCCCCC"/>
              <w:right w:val="single" w:sz="8" w:space="0" w:color="CCCCCC"/>
            </w:tcBorders>
            <w:shd w:fill="auto" w:val="clear"/>
            <w:vAlign w:val="center"/>
          </w:tcPr>
          <w:p>
            <w:pPr>
              <w:pStyle w:val="Normal1"/>
              <w:spacing w:lineRule="auto" w:line="240"/>
              <w:rPr/>
            </w:pPr>
            <w:r>
              <w:rPr/>
            </w:r>
          </w:p>
        </w:tc>
        <w:tc>
          <w:tcPr>
            <w:tcW w:w="1080" w:type="dxa"/>
            <w:tcBorders>
              <w:top w:val="single" w:sz="8" w:space="0" w:color="434343"/>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151:45</w:t>
            </w:r>
          </w:p>
        </w:tc>
        <w:tc>
          <w:tcPr>
            <w:tcW w:w="1379" w:type="dxa"/>
            <w:tcBorders>
              <w:top w:val="single" w:sz="8" w:space="0" w:color="434343"/>
              <w:left w:val="single" w:sz="8" w:space="0" w:color="CCCCCC"/>
              <w:bottom w:val="single" w:sz="8" w:space="0" w:color="CCCCCC"/>
              <w:right w:val="single" w:sz="8" w:space="0" w:color="CCCCCC"/>
            </w:tcBorders>
            <w:shd w:fill="auto" w:val="clear"/>
            <w:vAlign w:val="center"/>
          </w:tcPr>
          <w:p>
            <w:pPr>
              <w:pStyle w:val="Normal1"/>
              <w:spacing w:lineRule="auto" w:line="240"/>
              <w:rPr/>
            </w:pPr>
            <w:r>
              <w:rPr/>
            </w:r>
          </w:p>
        </w:tc>
        <w:tc>
          <w:tcPr>
            <w:tcW w:w="1066" w:type="dxa"/>
            <w:tcBorders>
              <w:top w:val="single" w:sz="8" w:space="0" w:color="434343"/>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198:30</w:t>
            </w:r>
          </w:p>
        </w:tc>
        <w:tc>
          <w:tcPr>
            <w:tcW w:w="1304" w:type="dxa"/>
            <w:tcBorders>
              <w:top w:val="single" w:sz="8" w:space="0" w:color="434343"/>
              <w:left w:val="single" w:sz="8" w:space="0" w:color="CCCCCC"/>
              <w:bottom w:val="single" w:sz="8" w:space="0" w:color="CCCCCC"/>
              <w:right w:val="single" w:sz="8" w:space="0" w:color="CCCCCC"/>
            </w:tcBorders>
            <w:shd w:fill="auto" w:val="clear"/>
            <w:vAlign w:val="center"/>
          </w:tcPr>
          <w:p>
            <w:pPr>
              <w:pStyle w:val="Normal1"/>
              <w:spacing w:lineRule="auto" w:line="240"/>
              <w:rPr/>
            </w:pPr>
            <w:r>
              <w:rPr/>
            </w:r>
          </w:p>
        </w:tc>
        <w:tc>
          <w:tcPr>
            <w:tcW w:w="1005" w:type="dxa"/>
            <w:tcBorders>
              <w:top w:val="single" w:sz="8" w:space="0" w:color="434343"/>
              <w:left w:val="single" w:sz="8" w:space="0" w:color="CCCCCC"/>
              <w:bottom w:val="single" w:sz="8" w:space="0" w:color="CCCCCC"/>
              <w:right w:val="single" w:sz="8" w:space="0" w:color="CCCCCC"/>
            </w:tcBorders>
            <w:shd w:fill="auto" w:val="clear"/>
            <w:vAlign w:val="center"/>
          </w:tcPr>
          <w:p>
            <w:pPr>
              <w:pStyle w:val="Normal1"/>
              <w:spacing w:lineRule="auto" w:line="240"/>
              <w:jc w:val="right"/>
              <w:rPr>
                <w:sz w:val="20"/>
                <w:szCs w:val="20"/>
              </w:rPr>
            </w:pPr>
            <w:r>
              <w:rPr>
                <w:sz w:val="20"/>
                <w:szCs w:val="20"/>
              </w:rPr>
              <w:t>131:53</w:t>
            </w:r>
          </w:p>
        </w:tc>
      </w:tr>
    </w:tbl>
    <w:p>
      <w:pPr>
        <w:pStyle w:val="Normal1"/>
        <w:spacing w:lineRule="auto" w:line="240"/>
        <w:rPr/>
      </w:pPr>
      <w:r>
        <w:rPr>
          <w:b/>
        </w:rPr>
        <w:t>Supplementary Table S2. Compute run times for basecaller training jobs</w:t>
      </w:r>
      <w:r>
        <w:rPr/>
        <w:t>, presented in hours and minutes (h:min). Both basecalling and training were performed by ONT Bonito. All jobs were run with 12 Intel Xeon Platinum 8268 (Cascade Lake) 2.9 GHz CPU cores and a single Nvidia Tesla Volta V100-SXM2-32GB GPU. The maximum system memory used was: basecalling = 367 GB; training = 65 GB.</w:t>
      </w:r>
    </w:p>
    <w:p>
      <w:pPr>
        <w:pStyle w:val="Normal1"/>
        <w:spacing w:lineRule="auto" w:line="240"/>
        <w:rPr/>
      </w:pPr>
      <w:r>
        <w:rPr/>
      </w:r>
    </w:p>
    <w:p>
      <w:pPr>
        <w:pStyle w:val="Normal1"/>
        <w:spacing w:lineRule="auto" w:line="240"/>
        <w:rPr/>
      </w:pPr>
      <w:r>
        <w:rPr/>
      </w:r>
    </w:p>
    <w:p>
      <w:pPr>
        <w:pStyle w:val="Normal1"/>
        <w:spacing w:lineRule="auto" w:line="240"/>
        <w:rPr/>
      </w:pPr>
      <w:r>
        <w:rPr/>
      </w:r>
    </w:p>
    <w:p>
      <w:pPr>
        <w:pStyle w:val="Normal1"/>
        <w:spacing w:lineRule="auto" w:line="240"/>
        <w:rPr/>
      </w:pPr>
      <w:r>
        <w:rPr/>
      </w:r>
      <w:r>
        <w:br w:type="page"/>
      </w:r>
    </w:p>
    <w:p>
      <w:pPr>
        <w:pStyle w:val="Normal1"/>
        <w:spacing w:lineRule="auto" w:line="240"/>
        <w:rPr/>
      </w:pPr>
      <w:r>
        <w:rPr/>
        <w:drawing>
          <wp:inline distT="0" distB="0" distL="0" distR="0">
            <wp:extent cx="5731510" cy="463677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5731510" cy="4636770"/>
                    </a:xfrm>
                    <a:prstGeom prst="rect">
                      <a:avLst/>
                    </a:prstGeom>
                  </pic:spPr>
                </pic:pic>
              </a:graphicData>
            </a:graphic>
          </wp:inline>
        </w:drawing>
      </w:r>
    </w:p>
    <w:p>
      <w:pPr>
        <w:pStyle w:val="Normal1"/>
        <w:spacing w:lineRule="auto" w:line="240"/>
        <w:rPr/>
      </w:pPr>
      <w:r>
        <w:rPr>
          <w:b/>
        </w:rPr>
        <w:t>Supplementary Figure S1.</w:t>
      </w:r>
      <w:r>
        <w:rPr/>
        <w:t xml:space="preserve"> </w:t>
      </w:r>
      <w:r>
        <w:rPr>
          <w:b/>
        </w:rPr>
        <w:t>Distribution of R9.4.1 read library quality statistics, in Phred scores.</w:t>
      </w:r>
      <w:r>
        <w:rPr/>
        <w:t xml:space="preserve"> A1 and A2 contain statistics for </w:t>
      </w:r>
      <w:r>
        <w:rPr>
          <w:i/>
        </w:rPr>
        <w:t>P. stellatum</w:t>
      </w:r>
      <w:r>
        <w:rPr/>
        <w:t xml:space="preserve">; B1 and B2 contain statistics for </w:t>
      </w:r>
      <w:r>
        <w:rPr>
          <w:i/>
        </w:rPr>
        <w:t>X. johnsonii</w:t>
      </w:r>
      <w:r>
        <w:rPr/>
        <w:t xml:space="preserve">. A1) Distribution of read identities (compared to the pseudo-haploid HiFi genome (truth set)) for each of </w:t>
      </w:r>
      <w:r>
        <w:rPr>
          <w:i/>
        </w:rPr>
        <w:t>P. stellatum’s</w:t>
      </w:r>
      <w:r>
        <w:rPr/>
        <w:t xml:space="preserve"> read libraries. A2) Distribution of average read quality scores (obtained from basecalled fastq files) for all </w:t>
      </w:r>
      <w:r>
        <w:rPr>
          <w:i/>
        </w:rPr>
        <w:t>P. stellatum’s</w:t>
      </w:r>
      <w:r>
        <w:rPr/>
        <w:t xml:space="preserve"> reads libraries. B1) Distribution of read identities (compared to the pseudo-haploid HiFi genome (truth set)) for each of </w:t>
      </w:r>
      <w:r>
        <w:rPr>
          <w:i/>
        </w:rPr>
        <w:t>X. johnsonii’s</w:t>
      </w:r>
      <w:r>
        <w:rPr/>
        <w:t xml:space="preserve"> read libraries. B2) Distribution of average read quality scores (obtained from basecalled fastq files) for all </w:t>
      </w:r>
      <w:r>
        <w:rPr>
          <w:i/>
        </w:rPr>
        <w:t>X. johnsonii’s</w:t>
      </w:r>
      <w:r>
        <w:rPr/>
        <w:t xml:space="preserve"> reads libraries.</w:t>
      </w:r>
    </w:p>
    <w:p>
      <w:pPr>
        <w:pStyle w:val="Normal1"/>
        <w:spacing w:lineRule="auto" w:line="240"/>
        <w:rPr>
          <w:b/>
          <w:b/>
        </w:rPr>
      </w:pPr>
      <w:r>
        <w:rPr>
          <w:b/>
        </w:rPr>
      </w:r>
    </w:p>
    <w:tbl>
      <w:tblPr>
        <w:tblStyle w:val="Table4"/>
        <w:tblW w:w="8265" w:type="dxa"/>
        <w:jc w:val="left"/>
        <w:tblInd w:w="0" w:type="dxa"/>
        <w:tblCellMar>
          <w:top w:w="17" w:type="dxa"/>
          <w:left w:w="17" w:type="dxa"/>
          <w:bottom w:w="17" w:type="dxa"/>
          <w:right w:w="17" w:type="dxa"/>
        </w:tblCellMar>
        <w:tblLook w:val="0600"/>
      </w:tblPr>
      <w:tblGrid>
        <w:gridCol w:w="2205"/>
        <w:gridCol w:w="1529"/>
        <w:gridCol w:w="1455"/>
        <w:gridCol w:w="1546"/>
        <w:gridCol w:w="1530"/>
      </w:tblGrid>
      <w:tr>
        <w:trPr/>
        <w:tc>
          <w:tcPr>
            <w:tcW w:w="220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r>
          </w:p>
        </w:tc>
        <w:tc>
          <w:tcPr>
            <w:tcW w:w="2984" w:type="dxa"/>
            <w:gridSpan w:val="2"/>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i/>
                <w:i/>
                <w:sz w:val="20"/>
                <w:szCs w:val="20"/>
              </w:rPr>
            </w:pPr>
            <w:r>
              <w:rPr>
                <w:b/>
                <w:i/>
                <w:sz w:val="20"/>
                <w:szCs w:val="20"/>
              </w:rPr>
              <w:t>P. stellatum</w:t>
            </w:r>
          </w:p>
        </w:tc>
        <w:tc>
          <w:tcPr>
            <w:tcW w:w="3076" w:type="dxa"/>
            <w:gridSpan w:val="2"/>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i/>
                <w:i/>
                <w:sz w:val="20"/>
                <w:szCs w:val="20"/>
              </w:rPr>
            </w:pPr>
            <w:r>
              <w:rPr>
                <w:b/>
                <w:i/>
                <w:sz w:val="20"/>
                <w:szCs w:val="20"/>
              </w:rPr>
              <w:t>X. johnsonii</w:t>
            </w:r>
          </w:p>
        </w:tc>
      </w:tr>
      <w:tr>
        <w:trPr>
          <w:trHeight w:val="129" w:hRule="atLeast"/>
        </w:trPr>
        <w:tc>
          <w:tcPr>
            <w:tcW w:w="220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Basecaller model</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Read quality scores</w:t>
            </w:r>
          </w:p>
        </w:tc>
        <w:tc>
          <w:tcPr>
            <w:tcW w:w="145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Read Identity</w:t>
            </w:r>
          </w:p>
        </w:tc>
        <w:tc>
          <w:tcPr>
            <w:tcW w:w="154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Read quality scores</w:t>
            </w:r>
          </w:p>
        </w:tc>
        <w:tc>
          <w:tcPr>
            <w:tcW w:w="153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Read Identity</w:t>
            </w:r>
          </w:p>
        </w:tc>
      </w:tr>
      <w:tr>
        <w:trPr>
          <w:trHeight w:val="189" w:hRule="atLeast"/>
        </w:trPr>
        <w:tc>
          <w:tcPr>
            <w:tcW w:w="220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sz w:val="20"/>
                <w:szCs w:val="20"/>
              </w:rPr>
            </w:pPr>
            <w:r>
              <w:rPr>
                <w:sz w:val="20"/>
                <w:szCs w:val="20"/>
              </w:rPr>
              <w:t>Guppy 5</w:t>
            </w:r>
          </w:p>
          <w:p>
            <w:pPr>
              <w:pStyle w:val="Normal1"/>
              <w:widowControl w:val="false"/>
              <w:spacing w:lineRule="auto" w:line="240"/>
              <w:jc w:val="center"/>
              <w:rPr>
                <w:sz w:val="20"/>
                <w:szCs w:val="20"/>
              </w:rPr>
            </w:pPr>
            <w:r>
              <w:rPr>
                <w:sz w:val="20"/>
                <w:szCs w:val="20"/>
              </w:rPr>
              <w:t>super accurate</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8.65 ± 2.67</w:t>
            </w:r>
          </w:p>
        </w:tc>
        <w:tc>
          <w:tcPr>
            <w:tcW w:w="145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10.95 ± 0.17</w:t>
            </w:r>
          </w:p>
        </w:tc>
        <w:tc>
          <w:tcPr>
            <w:tcW w:w="154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10.07 ± 2.85</w:t>
            </w:r>
          </w:p>
        </w:tc>
        <w:tc>
          <w:tcPr>
            <w:tcW w:w="153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12.33 ± 0.14</w:t>
            </w:r>
          </w:p>
        </w:tc>
      </w:tr>
      <w:tr>
        <w:trPr>
          <w:trHeight w:val="159" w:hRule="atLeast"/>
        </w:trPr>
        <w:tc>
          <w:tcPr>
            <w:tcW w:w="220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sz w:val="20"/>
                <w:szCs w:val="20"/>
              </w:rPr>
            </w:pPr>
            <w:r>
              <w:rPr>
                <w:sz w:val="20"/>
                <w:szCs w:val="20"/>
              </w:rPr>
              <w:t>Guppy 6</w:t>
            </w:r>
          </w:p>
          <w:p>
            <w:pPr>
              <w:pStyle w:val="Normal1"/>
              <w:widowControl w:val="false"/>
              <w:spacing w:lineRule="auto" w:line="240"/>
              <w:jc w:val="center"/>
              <w:rPr>
                <w:sz w:val="20"/>
                <w:szCs w:val="20"/>
              </w:rPr>
            </w:pPr>
            <w:r>
              <w:rPr>
                <w:sz w:val="20"/>
                <w:szCs w:val="20"/>
              </w:rPr>
              <w:t>super accurate</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8.75 ± 2.74</w:t>
            </w:r>
          </w:p>
        </w:tc>
        <w:tc>
          <w:tcPr>
            <w:tcW w:w="145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10.95 ± 0.17</w:t>
            </w:r>
          </w:p>
        </w:tc>
        <w:tc>
          <w:tcPr>
            <w:tcW w:w="154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10.21 ± 2.90</w:t>
            </w:r>
          </w:p>
        </w:tc>
        <w:tc>
          <w:tcPr>
            <w:tcW w:w="153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12.33 ± 0.14</w:t>
            </w:r>
          </w:p>
        </w:tc>
      </w:tr>
      <w:tr>
        <w:trPr>
          <w:trHeight w:val="204" w:hRule="atLeast"/>
        </w:trPr>
        <w:tc>
          <w:tcPr>
            <w:tcW w:w="220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ind w:left="-9020" w:right="-9020" w:hanging="0"/>
              <w:jc w:val="center"/>
              <w:rPr>
                <w:sz w:val="20"/>
                <w:szCs w:val="20"/>
              </w:rPr>
            </w:pPr>
            <w:r>
              <w:rPr>
                <w:sz w:val="20"/>
                <w:szCs w:val="20"/>
              </w:rPr>
              <w:t>Guppy 6</w:t>
            </w:r>
          </w:p>
          <w:p>
            <w:pPr>
              <w:pStyle w:val="Normal1"/>
              <w:widowControl w:val="false"/>
              <w:spacing w:lineRule="auto" w:line="240"/>
              <w:ind w:left="-9020" w:right="-9020" w:hanging="0"/>
              <w:jc w:val="center"/>
              <w:rPr>
                <w:sz w:val="20"/>
                <w:szCs w:val="20"/>
              </w:rPr>
            </w:pPr>
            <w:r>
              <w:rPr>
                <w:sz w:val="20"/>
                <w:szCs w:val="20"/>
              </w:rPr>
              <w:t>super accurate - plant</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8.16 ± 3.10</w:t>
            </w:r>
          </w:p>
        </w:tc>
        <w:tc>
          <w:tcPr>
            <w:tcW w:w="1455" w:type="dxa"/>
            <w:tcBorders>
              <w:top w:val="single" w:sz="8" w:space="0" w:color="CCCCCC"/>
              <w:left w:val="single" w:sz="8" w:space="0" w:color="CCCCCC"/>
              <w:bottom w:val="single" w:sz="8" w:space="0" w:color="CCCCCC"/>
              <w:right w:val="single" w:sz="8" w:space="0" w:color="CCCCCC"/>
            </w:tcBorders>
            <w:vAlign w:val="bottom"/>
          </w:tcPr>
          <w:p>
            <w:pPr>
              <w:pStyle w:val="Normal1"/>
              <w:widowControl w:val="false"/>
              <w:spacing w:lineRule="auto" w:line="240"/>
              <w:jc w:val="right"/>
              <w:rPr>
                <w:sz w:val="20"/>
                <w:szCs w:val="20"/>
              </w:rPr>
            </w:pPr>
            <w:r>
              <w:rPr>
                <w:sz w:val="20"/>
                <w:szCs w:val="20"/>
              </w:rPr>
              <w:t>10.69 ± 0.16</w:t>
            </w:r>
          </w:p>
        </w:tc>
        <w:tc>
          <w:tcPr>
            <w:tcW w:w="154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11.44 ± 3.43</w:t>
            </w:r>
          </w:p>
        </w:tc>
        <w:tc>
          <w:tcPr>
            <w:tcW w:w="1530" w:type="dxa"/>
            <w:tcBorders>
              <w:top w:val="single" w:sz="8" w:space="0" w:color="CCCCCC"/>
              <w:left w:val="single" w:sz="8" w:space="0" w:color="CCCCCC"/>
              <w:bottom w:val="single" w:sz="8" w:space="0" w:color="CCCCCC"/>
              <w:right w:val="single" w:sz="8" w:space="0" w:color="CCCCCC"/>
            </w:tcBorders>
            <w:vAlign w:val="bottom"/>
          </w:tcPr>
          <w:p>
            <w:pPr>
              <w:pStyle w:val="Normal1"/>
              <w:widowControl w:val="false"/>
              <w:spacing w:lineRule="auto" w:line="240"/>
              <w:jc w:val="right"/>
              <w:rPr>
                <w:sz w:val="20"/>
                <w:szCs w:val="20"/>
              </w:rPr>
            </w:pPr>
            <w:r>
              <w:rPr>
                <w:sz w:val="20"/>
                <w:szCs w:val="20"/>
              </w:rPr>
              <w:t>14.18 ± 0.16</w:t>
            </w:r>
          </w:p>
        </w:tc>
      </w:tr>
      <w:tr>
        <w:trPr>
          <w:trHeight w:val="135" w:hRule="atLeast"/>
        </w:trPr>
        <w:tc>
          <w:tcPr>
            <w:tcW w:w="220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sz w:val="20"/>
                <w:szCs w:val="20"/>
              </w:rPr>
            </w:pPr>
            <w:r>
              <w:rPr>
                <w:sz w:val="20"/>
                <w:szCs w:val="20"/>
              </w:rPr>
              <w:t>Reciprocal species-specific</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11.55 ± 3.08</w:t>
            </w:r>
          </w:p>
        </w:tc>
        <w:tc>
          <w:tcPr>
            <w:tcW w:w="145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11.54 ± 0.14</w:t>
            </w:r>
          </w:p>
        </w:tc>
        <w:tc>
          <w:tcPr>
            <w:tcW w:w="154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13.51 ± 2.60</w:t>
            </w:r>
          </w:p>
        </w:tc>
        <w:tc>
          <w:tcPr>
            <w:tcW w:w="153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12.54 ± 0.12</w:t>
            </w:r>
          </w:p>
        </w:tc>
      </w:tr>
      <w:tr>
        <w:trPr>
          <w:trHeight w:val="315" w:hRule="atLeast"/>
        </w:trPr>
        <w:tc>
          <w:tcPr>
            <w:tcW w:w="220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sz w:val="20"/>
                <w:szCs w:val="20"/>
              </w:rPr>
            </w:pPr>
            <w:r>
              <w:rPr>
                <w:sz w:val="20"/>
                <w:szCs w:val="20"/>
              </w:rPr>
              <w:t>Species-specific</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12.86 ± 2.79</w:t>
            </w:r>
          </w:p>
        </w:tc>
        <w:tc>
          <w:tcPr>
            <w:tcW w:w="1455"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11.70 ± 0.13</w:t>
            </w:r>
          </w:p>
        </w:tc>
        <w:tc>
          <w:tcPr>
            <w:tcW w:w="154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13.56 ± 2.88</w:t>
            </w:r>
          </w:p>
        </w:tc>
        <w:tc>
          <w:tcPr>
            <w:tcW w:w="153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13.16 ± 0.12</w:t>
            </w:r>
          </w:p>
        </w:tc>
      </w:tr>
    </w:tbl>
    <w:p>
      <w:pPr>
        <w:pStyle w:val="Normal1"/>
        <w:spacing w:lineRule="auto" w:line="240"/>
        <w:rPr/>
      </w:pPr>
      <w:r>
        <w:rPr>
          <w:b/>
        </w:rPr>
        <w:t>Supplementary Table S3. Basecaller quality.</w:t>
      </w:r>
      <w:r>
        <w:rPr/>
        <w:t xml:space="preserve">  Average read quality scores (quality scores) for each dataset were calculated, averaged and reported as Phred scores. Read identities show the average read similarity to the truth dataset and are also reported as Phred scores. Averages are shown with standard deviations.</w:t>
      </w:r>
      <w:r>
        <w:br w:type="page"/>
      </w:r>
    </w:p>
    <w:p>
      <w:pPr>
        <w:pStyle w:val="Normal1"/>
        <w:spacing w:lineRule="auto" w:line="240"/>
        <w:rPr/>
      </w:pPr>
      <w:r>
        <w:rPr/>
        <w:drawing>
          <wp:inline distT="0" distB="0" distL="0" distR="0">
            <wp:extent cx="5140325" cy="7712710"/>
            <wp:effectExtent l="0" t="0" r="0" b="0"/>
            <wp:docPr id="2"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descr=""/>
                    <pic:cNvPicPr>
                      <a:picLocks noChangeAspect="1" noChangeArrowheads="1"/>
                    </pic:cNvPicPr>
                  </pic:nvPicPr>
                  <pic:blipFill>
                    <a:blip r:embed="rId3"/>
                    <a:stretch>
                      <a:fillRect/>
                    </a:stretch>
                  </pic:blipFill>
                  <pic:spPr bwMode="auto">
                    <a:xfrm>
                      <a:off x="0" y="0"/>
                      <a:ext cx="5140325" cy="7712710"/>
                    </a:xfrm>
                    <a:prstGeom prst="rect">
                      <a:avLst/>
                    </a:prstGeom>
                  </pic:spPr>
                </pic:pic>
              </a:graphicData>
            </a:graphic>
          </wp:inline>
        </w:drawing>
      </w:r>
    </w:p>
    <w:p>
      <w:pPr>
        <w:pStyle w:val="Normal1"/>
        <w:spacing w:lineRule="auto" w:line="240"/>
        <w:rPr/>
      </w:pPr>
      <w:r>
        <w:rPr>
          <w:b/>
        </w:rPr>
        <w:t>Supplementary Figure S2.</w:t>
      </w:r>
      <w:r>
        <w:rPr/>
        <w:t xml:space="preserve"> Scatter plot with linear regression of all </w:t>
      </w:r>
      <w:r>
        <w:rPr>
          <w:i/>
        </w:rPr>
        <w:t>P. stellatum</w:t>
      </w:r>
      <w:r>
        <w:rPr/>
        <w:t xml:space="preserve"> read datasets, in percentages. X-axis shows read average quality scores in percentages, while the y-axis shows the read identity (accuracy against the HiFi truth genome).</w:t>
      </w:r>
    </w:p>
    <w:p>
      <w:pPr>
        <w:pStyle w:val="Normal1"/>
        <w:spacing w:lineRule="auto" w:line="240"/>
        <w:rPr>
          <w:b/>
          <w:b/>
        </w:rPr>
      </w:pPr>
      <w:r>
        <w:rPr>
          <w:b/>
        </w:rPr>
      </w:r>
    </w:p>
    <w:p>
      <w:pPr>
        <w:pStyle w:val="Normal1"/>
        <w:spacing w:lineRule="auto" w:line="240"/>
        <w:rPr/>
      </w:pPr>
      <w:r>
        <w:rPr/>
        <w:drawing>
          <wp:inline distT="0" distB="0" distL="0" distR="0">
            <wp:extent cx="5526405" cy="8258810"/>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4"/>
                    <a:stretch>
                      <a:fillRect/>
                    </a:stretch>
                  </pic:blipFill>
                  <pic:spPr bwMode="auto">
                    <a:xfrm>
                      <a:off x="0" y="0"/>
                      <a:ext cx="5526405" cy="8258810"/>
                    </a:xfrm>
                    <a:prstGeom prst="rect">
                      <a:avLst/>
                    </a:prstGeom>
                  </pic:spPr>
                </pic:pic>
              </a:graphicData>
            </a:graphic>
          </wp:inline>
        </w:drawing>
      </w:r>
    </w:p>
    <w:p>
      <w:pPr>
        <w:pStyle w:val="Normal1"/>
        <w:spacing w:lineRule="auto" w:line="240"/>
        <w:rPr/>
      </w:pPr>
      <w:r>
        <w:rPr>
          <w:b/>
        </w:rPr>
        <w:t xml:space="preserve">Supplementary Figure S3. </w:t>
      </w:r>
      <w:r>
        <w:rPr/>
        <w:t xml:space="preserve">Scatter plot with linear regression of all </w:t>
      </w:r>
      <w:r>
        <w:rPr>
          <w:i/>
        </w:rPr>
        <w:t>X. johnsonii</w:t>
      </w:r>
      <w:r>
        <w:rPr/>
        <w:t xml:space="preserve"> read datasets, in percentages. X-axis shows read average quality scores, while the y-axis shows the read identity (accuracy against the HiFi truth genome.</w:t>
      </w:r>
    </w:p>
    <w:p>
      <w:pPr>
        <w:pStyle w:val="Normal1"/>
        <w:spacing w:lineRule="auto" w:line="240"/>
        <w:rPr/>
      </w:pPr>
      <w:r>
        <w:rPr/>
        <w:drawing>
          <wp:inline distT="0" distB="0" distL="0" distR="0">
            <wp:extent cx="5459095" cy="8049895"/>
            <wp:effectExtent l="0" t="0" r="0" b="0"/>
            <wp:docPr id="4"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descr=""/>
                    <pic:cNvPicPr>
                      <a:picLocks noChangeAspect="1" noChangeArrowheads="1"/>
                    </pic:cNvPicPr>
                  </pic:nvPicPr>
                  <pic:blipFill>
                    <a:blip r:embed="rId5"/>
                    <a:stretch>
                      <a:fillRect/>
                    </a:stretch>
                  </pic:blipFill>
                  <pic:spPr bwMode="auto">
                    <a:xfrm>
                      <a:off x="0" y="0"/>
                      <a:ext cx="5459095" cy="8049895"/>
                    </a:xfrm>
                    <a:prstGeom prst="rect">
                      <a:avLst/>
                    </a:prstGeom>
                  </pic:spPr>
                </pic:pic>
              </a:graphicData>
            </a:graphic>
          </wp:inline>
        </w:drawing>
      </w:r>
    </w:p>
    <w:p>
      <w:pPr>
        <w:pStyle w:val="Normal1"/>
        <w:spacing w:lineRule="auto" w:line="240"/>
        <w:rPr/>
      </w:pPr>
      <w:r>
        <w:rPr>
          <w:b/>
        </w:rPr>
        <w:t>Supplementary Figure S4.</w:t>
      </w:r>
      <w:r>
        <w:rPr/>
        <w:t xml:space="preserve"> Scatter plot with linear regression of all </w:t>
      </w:r>
      <w:r>
        <w:rPr>
          <w:i/>
        </w:rPr>
        <w:t>P. stellatum</w:t>
      </w:r>
      <w:r>
        <w:rPr/>
        <w:t xml:space="preserve"> read datasets, in Phred scores. X-axis shows read average quality scores, while the y-axis shows the read identity (accuracy against the HiFi truth genome).</w:t>
      </w:r>
    </w:p>
    <w:p>
      <w:pPr>
        <w:pStyle w:val="Normal1"/>
        <w:spacing w:lineRule="auto" w:line="240"/>
        <w:rPr>
          <w:b/>
          <w:b/>
        </w:rPr>
      </w:pPr>
      <w:r>
        <w:rPr/>
        <w:drawing>
          <wp:inline distT="0" distB="0" distL="0" distR="0">
            <wp:extent cx="5200015" cy="7785735"/>
            <wp:effectExtent l="0" t="0" r="0" b="0"/>
            <wp:docPr id="5"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png" descr=""/>
                    <pic:cNvPicPr>
                      <a:picLocks noChangeAspect="1" noChangeArrowheads="1"/>
                    </pic:cNvPicPr>
                  </pic:nvPicPr>
                  <pic:blipFill>
                    <a:blip r:embed="rId6"/>
                    <a:stretch>
                      <a:fillRect/>
                    </a:stretch>
                  </pic:blipFill>
                  <pic:spPr bwMode="auto">
                    <a:xfrm>
                      <a:off x="0" y="0"/>
                      <a:ext cx="5200015" cy="7785735"/>
                    </a:xfrm>
                    <a:prstGeom prst="rect">
                      <a:avLst/>
                    </a:prstGeom>
                  </pic:spPr>
                </pic:pic>
              </a:graphicData>
            </a:graphic>
          </wp:inline>
        </w:drawing>
      </w:r>
    </w:p>
    <w:p>
      <w:pPr>
        <w:pStyle w:val="Normal1"/>
        <w:spacing w:lineRule="auto" w:line="240"/>
        <w:rPr>
          <w:b/>
          <w:b/>
        </w:rPr>
      </w:pPr>
      <w:r>
        <w:rPr>
          <w:b/>
        </w:rPr>
        <w:t xml:space="preserve">Supplementary Figure S5. </w:t>
      </w:r>
      <w:r>
        <w:rPr/>
        <w:t xml:space="preserve">Scatter plot with linear regression of all </w:t>
      </w:r>
      <w:r>
        <w:rPr>
          <w:i/>
        </w:rPr>
        <w:t>X. johnsonii</w:t>
      </w:r>
      <w:r>
        <w:rPr/>
        <w:t xml:space="preserve"> read datasets, in Phred scores. X-axis shows read average quality scores, while the y-axis shows the read identity (accuracy against the HiFi truth genome).</w:t>
      </w:r>
    </w:p>
    <w:p>
      <w:pPr>
        <w:pStyle w:val="Normal1"/>
        <w:spacing w:lineRule="auto" w:line="240"/>
        <w:rPr/>
      </w:pPr>
      <w:r>
        <w:rPr/>
      </w:r>
    </w:p>
    <w:p>
      <w:pPr>
        <w:pStyle w:val="Normal1"/>
        <w:spacing w:lineRule="auto" w:line="240"/>
        <w:rPr/>
      </w:pPr>
      <w:r>
        <w:rPr/>
        <w:drawing>
          <wp:inline distT="0" distB="0" distL="0" distR="0">
            <wp:extent cx="5731510" cy="2405380"/>
            <wp:effectExtent l="0" t="0" r="0" b="0"/>
            <wp:docPr id="6" name="image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descr=""/>
                    <pic:cNvPicPr>
                      <a:picLocks noChangeAspect="1" noChangeArrowheads="1"/>
                    </pic:cNvPicPr>
                  </pic:nvPicPr>
                  <pic:blipFill>
                    <a:blip r:embed="rId7"/>
                    <a:stretch>
                      <a:fillRect/>
                    </a:stretch>
                  </pic:blipFill>
                  <pic:spPr bwMode="auto">
                    <a:xfrm>
                      <a:off x="0" y="0"/>
                      <a:ext cx="5731510" cy="2405380"/>
                    </a:xfrm>
                    <a:prstGeom prst="rect">
                      <a:avLst/>
                    </a:prstGeom>
                  </pic:spPr>
                </pic:pic>
              </a:graphicData>
            </a:graphic>
          </wp:inline>
        </w:drawing>
      </w:r>
      <w:r>
        <w:rPr>
          <w:b/>
        </w:rPr>
        <w:t xml:space="preserve">Supplementary Figure S6. </w:t>
      </w:r>
      <w:r>
        <w:rPr/>
        <w:t>Read length distribution for all R9.4.1 basecalled read datasets.</w:t>
      </w:r>
    </w:p>
    <w:p>
      <w:pPr>
        <w:pStyle w:val="Normal1"/>
        <w:spacing w:lineRule="auto" w:line="240"/>
        <w:rPr/>
      </w:pPr>
      <w:r>
        <w:rPr/>
      </w:r>
    </w:p>
    <w:p>
      <w:pPr>
        <w:pStyle w:val="Normal1"/>
        <w:spacing w:lineRule="auto" w:line="240"/>
        <w:rPr/>
      </w:pPr>
      <w:r>
        <w:rPr/>
      </w:r>
    </w:p>
    <w:p>
      <w:pPr>
        <w:pStyle w:val="Normal1"/>
        <w:spacing w:lineRule="auto" w:line="240"/>
        <w:rPr>
          <w:b/>
          <w:b/>
        </w:rPr>
      </w:pPr>
      <w:r>
        <w:rPr/>
        <w:drawing>
          <wp:inline distT="0" distB="0" distL="0" distR="0">
            <wp:extent cx="5731510" cy="2462530"/>
            <wp:effectExtent l="0" t="0" r="0" b="0"/>
            <wp:docPr id="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descr=""/>
                    <pic:cNvPicPr>
                      <a:picLocks noChangeAspect="1" noChangeArrowheads="1"/>
                    </pic:cNvPicPr>
                  </pic:nvPicPr>
                  <pic:blipFill>
                    <a:blip r:embed="rId8"/>
                    <a:stretch>
                      <a:fillRect/>
                    </a:stretch>
                  </pic:blipFill>
                  <pic:spPr bwMode="auto">
                    <a:xfrm>
                      <a:off x="0" y="0"/>
                      <a:ext cx="5731510" cy="2462530"/>
                    </a:xfrm>
                    <a:prstGeom prst="rect">
                      <a:avLst/>
                    </a:prstGeom>
                  </pic:spPr>
                </pic:pic>
              </a:graphicData>
            </a:graphic>
          </wp:inline>
        </w:drawing>
      </w:r>
    </w:p>
    <w:p>
      <w:pPr>
        <w:pStyle w:val="Normal1"/>
        <w:spacing w:lineRule="auto" w:line="240"/>
        <w:rPr/>
      </w:pPr>
      <w:r>
        <w:rPr>
          <w:b/>
        </w:rPr>
        <w:t>Supplementary Figure S7.</w:t>
      </w:r>
      <w:r>
        <w:rPr/>
        <w:t xml:space="preserve"> </w:t>
      </w:r>
      <w:r>
        <w:rPr>
          <w:b/>
        </w:rPr>
        <w:t>Distribution of R10.4 read library quality statistics, in Phred scores.</w:t>
      </w:r>
      <w:r>
        <w:rPr/>
        <w:t xml:space="preserve"> Left: Distribution of average read quality scores (obtained from basecalled fastq files) for all </w:t>
      </w:r>
      <w:r>
        <w:rPr>
          <w:i/>
        </w:rPr>
        <w:t>P. stellatum’s</w:t>
      </w:r>
      <w:r>
        <w:rPr/>
        <w:t xml:space="preserve"> reads libraries. Right: Distribution of read identities (compared to the pseudo-haploid HiFi genome (truth set)) for each of </w:t>
      </w:r>
      <w:r>
        <w:rPr>
          <w:i/>
        </w:rPr>
        <w:t>P. stellatum’s</w:t>
      </w:r>
      <w:r>
        <w:rPr/>
        <w:t xml:space="preserve"> read libraries.</w:t>
      </w:r>
    </w:p>
    <w:p>
      <w:pPr>
        <w:pStyle w:val="Normal1"/>
        <w:spacing w:lineRule="auto" w:line="240"/>
        <w:rPr/>
      </w:pPr>
      <w:r>
        <w:rPr/>
      </w:r>
    </w:p>
    <w:p>
      <w:pPr>
        <w:pStyle w:val="Normal1"/>
        <w:spacing w:lineRule="auto" w:line="240"/>
        <w:rPr/>
      </w:pPr>
      <w:r>
        <w:rPr/>
      </w:r>
    </w:p>
    <w:tbl>
      <w:tblPr>
        <w:tblStyle w:val="Table5"/>
        <w:tblW w:w="4695" w:type="dxa"/>
        <w:jc w:val="left"/>
        <w:tblInd w:w="0" w:type="dxa"/>
        <w:tblCellMar>
          <w:top w:w="40" w:type="dxa"/>
          <w:left w:w="40" w:type="dxa"/>
          <w:bottom w:w="40" w:type="dxa"/>
          <w:right w:w="40" w:type="dxa"/>
        </w:tblCellMar>
        <w:tblLook w:val="0600"/>
      </w:tblPr>
      <w:tblGrid>
        <w:gridCol w:w="1770"/>
        <w:gridCol w:w="1529"/>
        <w:gridCol w:w="1396"/>
      </w:tblGrid>
      <w:tr>
        <w:trPr>
          <w:trHeight w:val="243" w:hRule="atLeast"/>
        </w:trPr>
        <w:tc>
          <w:tcPr>
            <w:tcW w:w="1770"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Basecaller model</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Read quality scores</w:t>
            </w:r>
          </w:p>
        </w:tc>
        <w:tc>
          <w:tcPr>
            <w:tcW w:w="139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center"/>
              <w:rPr>
                <w:b/>
                <w:b/>
                <w:sz w:val="20"/>
                <w:szCs w:val="20"/>
              </w:rPr>
            </w:pPr>
            <w:r>
              <w:rPr>
                <w:b/>
                <w:sz w:val="20"/>
                <w:szCs w:val="20"/>
              </w:rPr>
              <w:t>Read Identity</w:t>
            </w:r>
          </w:p>
        </w:tc>
      </w:tr>
      <w:tr>
        <w:trPr>
          <w:trHeight w:val="315" w:hRule="atLeast"/>
        </w:trPr>
        <w:tc>
          <w:tcPr>
            <w:tcW w:w="177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sz w:val="20"/>
                <w:szCs w:val="20"/>
              </w:rPr>
            </w:pPr>
            <w:r>
              <w:rPr>
                <w:color w:val="0E101A"/>
              </w:rPr>
              <w:t>Guppy-6-R10.4</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8.88 ± 0.62</w:t>
            </w:r>
          </w:p>
        </w:tc>
        <w:tc>
          <w:tcPr>
            <w:tcW w:w="139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6.64 ± 6.73</w:t>
            </w:r>
          </w:p>
        </w:tc>
      </w:tr>
      <w:tr>
        <w:trPr>
          <w:trHeight w:val="135" w:hRule="atLeast"/>
        </w:trPr>
        <w:tc>
          <w:tcPr>
            <w:tcW w:w="1770" w:type="dxa"/>
            <w:tcBorders>
              <w:top w:val="single" w:sz="8" w:space="0" w:color="CCCCCC"/>
              <w:left w:val="single" w:sz="8" w:space="0" w:color="CCCCCC"/>
              <w:bottom w:val="single" w:sz="8" w:space="0" w:color="CCCCCC"/>
              <w:right w:val="single" w:sz="8" w:space="0" w:color="CCCCCC"/>
            </w:tcBorders>
            <w:vAlign w:val="center"/>
          </w:tcPr>
          <w:p>
            <w:pPr>
              <w:pStyle w:val="Normal1"/>
              <w:spacing w:lineRule="auto" w:line="240"/>
              <w:jc w:val="center"/>
              <w:rPr>
                <w:sz w:val="20"/>
                <w:szCs w:val="20"/>
              </w:rPr>
            </w:pPr>
            <w:r>
              <w:rPr>
                <w:color w:val="0E101A"/>
              </w:rPr>
              <w:t>Species-specific R10.4</w:t>
            </w:r>
          </w:p>
        </w:tc>
        <w:tc>
          <w:tcPr>
            <w:tcW w:w="1529"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12.86 ± 2.79</w:t>
            </w:r>
          </w:p>
        </w:tc>
        <w:tc>
          <w:tcPr>
            <w:tcW w:w="1396" w:type="dxa"/>
            <w:tcBorders>
              <w:top w:val="single" w:sz="8" w:space="0" w:color="CCCCCC"/>
              <w:left w:val="single" w:sz="8" w:space="0" w:color="CCCCCC"/>
              <w:bottom w:val="single" w:sz="8" w:space="0" w:color="CCCCCC"/>
              <w:right w:val="single" w:sz="8" w:space="0" w:color="CCCCCC"/>
            </w:tcBorders>
            <w:vAlign w:val="center"/>
          </w:tcPr>
          <w:p>
            <w:pPr>
              <w:pStyle w:val="Normal1"/>
              <w:widowControl w:val="false"/>
              <w:spacing w:lineRule="auto" w:line="240"/>
              <w:jc w:val="right"/>
              <w:rPr>
                <w:sz w:val="20"/>
                <w:szCs w:val="20"/>
              </w:rPr>
            </w:pPr>
            <w:r>
              <w:rPr>
                <w:sz w:val="20"/>
                <w:szCs w:val="20"/>
              </w:rPr>
              <w:t>11.70 ± 0.13</w:t>
            </w:r>
          </w:p>
        </w:tc>
      </w:tr>
    </w:tbl>
    <w:p>
      <w:pPr>
        <w:pStyle w:val="Normal1"/>
        <w:spacing w:lineRule="auto" w:line="240"/>
        <w:rPr/>
      </w:pPr>
      <w:r>
        <w:rPr>
          <w:b/>
        </w:rPr>
        <w:t>Supplementary Table S4. R10.4 read library quality statistics, in Phred scores.</w:t>
      </w:r>
      <w:r>
        <w:rPr/>
        <w:t xml:space="preserve"> Average read quality scores (quality scores) for each dataset were calculated, averaged and reported as percent accuracy. Read identities show the average read similarity to the truth dataset and are also reported as percent accuracy. Averages are shown with standard deviations.</w:t>
      </w:r>
    </w:p>
    <w:p>
      <w:pPr>
        <w:pStyle w:val="Normal1"/>
        <w:spacing w:lineRule="auto" w:line="240"/>
        <w:rPr/>
      </w:pPr>
      <w:r>
        <w:rPr/>
      </w:r>
    </w:p>
    <w:p>
      <w:pPr>
        <w:pStyle w:val="Normal1"/>
        <w:spacing w:lineRule="auto" w:line="240"/>
        <w:rPr/>
      </w:pPr>
      <w:r>
        <w:rPr/>
      </w:r>
      <w:r>
        <w:br w:type="page"/>
      </w:r>
    </w:p>
    <w:p>
      <w:pPr>
        <w:pStyle w:val="Normal1"/>
        <w:spacing w:lineRule="auto" w:line="240"/>
        <w:rPr/>
      </w:pPr>
      <w:r>
        <w:rPr/>
        <w:drawing>
          <wp:inline distT="0" distB="0" distL="0" distR="0">
            <wp:extent cx="5731510" cy="2832100"/>
            <wp:effectExtent l="0" t="0" r="0" b="0"/>
            <wp:docPr id="8"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descr=""/>
                    <pic:cNvPicPr>
                      <a:picLocks noChangeAspect="1" noChangeArrowheads="1"/>
                    </pic:cNvPicPr>
                  </pic:nvPicPr>
                  <pic:blipFill>
                    <a:blip r:embed="rId9"/>
                    <a:stretch>
                      <a:fillRect/>
                    </a:stretch>
                  </pic:blipFill>
                  <pic:spPr bwMode="auto">
                    <a:xfrm>
                      <a:off x="0" y="0"/>
                      <a:ext cx="5731510" cy="2832100"/>
                    </a:xfrm>
                    <a:prstGeom prst="rect">
                      <a:avLst/>
                    </a:prstGeom>
                  </pic:spPr>
                </pic:pic>
              </a:graphicData>
            </a:graphic>
          </wp:inline>
        </w:drawing>
      </w:r>
    </w:p>
    <w:p>
      <w:pPr>
        <w:pStyle w:val="Normal1"/>
        <w:spacing w:lineRule="auto" w:line="240"/>
        <w:rPr/>
      </w:pPr>
      <w:r>
        <w:rPr>
          <w:b/>
        </w:rPr>
        <w:t>Supplementary Figure S8.</w:t>
      </w:r>
      <w:r>
        <w:rPr/>
        <w:t xml:space="preserve"> Scatter plot with linear regression of all </w:t>
      </w:r>
      <w:r>
        <w:rPr>
          <w:i/>
        </w:rPr>
        <w:t>X. johnsonii</w:t>
      </w:r>
      <w:r>
        <w:rPr/>
        <w:t xml:space="preserve"> read libraries, in percentages. X-axis shows read average quality scores, while the y-axis shows the read identity (accuracy against the HiFi truth genome).</w:t>
      </w:r>
    </w:p>
    <w:p>
      <w:pPr>
        <w:pStyle w:val="Normal1"/>
        <w:spacing w:lineRule="auto" w:line="240"/>
        <w:rPr/>
      </w:pPr>
      <w:r>
        <w:rPr/>
      </w:r>
    </w:p>
    <w:p>
      <w:pPr>
        <w:pStyle w:val="Normal1"/>
        <w:spacing w:lineRule="auto" w:line="240"/>
        <w:rPr/>
      </w:pPr>
      <w:r>
        <w:rPr/>
        <w:drawing>
          <wp:inline distT="0" distB="0" distL="0" distR="0">
            <wp:extent cx="5731510" cy="2971800"/>
            <wp:effectExtent l="0" t="0" r="0" b="0"/>
            <wp:docPr id="9"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descr=""/>
                    <pic:cNvPicPr>
                      <a:picLocks noChangeAspect="1" noChangeArrowheads="1"/>
                    </pic:cNvPicPr>
                  </pic:nvPicPr>
                  <pic:blipFill>
                    <a:blip r:embed="rId10"/>
                    <a:stretch>
                      <a:fillRect/>
                    </a:stretch>
                  </pic:blipFill>
                  <pic:spPr bwMode="auto">
                    <a:xfrm>
                      <a:off x="0" y="0"/>
                      <a:ext cx="5731510" cy="2971800"/>
                    </a:xfrm>
                    <a:prstGeom prst="rect">
                      <a:avLst/>
                    </a:prstGeom>
                  </pic:spPr>
                </pic:pic>
              </a:graphicData>
            </a:graphic>
          </wp:inline>
        </w:drawing>
      </w:r>
    </w:p>
    <w:p>
      <w:pPr>
        <w:pStyle w:val="Normal1"/>
        <w:spacing w:lineRule="auto" w:line="240"/>
        <w:rPr/>
      </w:pPr>
      <w:r>
        <w:rPr>
          <w:b/>
        </w:rPr>
        <w:t>Supplementary Figure S9.</w:t>
      </w:r>
      <w:r>
        <w:rPr/>
        <w:t xml:space="preserve"> Scatter plot with linear regression of all </w:t>
      </w:r>
      <w:r>
        <w:rPr>
          <w:i/>
        </w:rPr>
        <w:t>X. johnsonii</w:t>
      </w:r>
      <w:r>
        <w:rPr/>
        <w:t xml:space="preserve"> read libraries, in Phred scores. X-axis shows read average quality scores, while the y-axis shows the read identity (accuracy against the HiFi truth genome).</w:t>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90"/>
  <w:displayBackgroundShape/>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ages>9</Pages>
  <Words>1178</Words>
  <Characters>6513</Characters>
  <CharactersWithSpaces>7523</CharactersWithSpaces>
  <Paragraphs>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en-AU</dc:language>
  <cp:lastModifiedBy/>
  <dcterms:modified xsi:type="dcterms:W3CDTF">2022-07-31T18:07:43Z</dcterms:modified>
  <cp:revision>1</cp:revision>
  <dc:subject/>
  <dc:title/>
</cp:coreProperties>
</file>