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358D" w14:textId="77777777" w:rsidR="00C3721C" w:rsidRPr="00825A24" w:rsidRDefault="00C3721C" w:rsidP="00C3721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Supplemental</w:t>
      </w:r>
    </w:p>
    <w:p w14:paraId="5DF01E50" w14:textId="77777777" w:rsidR="00C3721C" w:rsidRPr="00825A24" w:rsidRDefault="00C3721C" w:rsidP="00C3721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S1.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Distinct cooperation of the key genetic determinants drives unique hepatocarcinogenesis.</w:t>
      </w:r>
    </w:p>
    <w:p w14:paraId="5FC7D6D3" w14:textId="77777777" w:rsidR="00C3721C" w:rsidRPr="00825A24" w:rsidRDefault="00C3721C" w:rsidP="00C3721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mRNA level of CTNNB1 in tumor (red) and non-tumor (blue) samples across different cancer types (LIHC, hepatocellular carcinoma; see Table S1 for details by cancer type). </w:t>
      </w:r>
    </w:p>
    <w:p w14:paraId="10894ED9" w14:textId="77777777" w:rsidR="00C3721C" w:rsidRPr="00825A24" w:rsidRDefault="00C3721C" w:rsidP="00C3721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Schematic of vectors for two mouse models. The FAH-transposon based vectors of overexpressing N90-CTNNB1 plus sg</w:t>
      </w:r>
      <w:r>
        <w:rPr>
          <w:rFonts w:ascii="Arial" w:hAnsi="Arial" w:cs="Arial"/>
          <w:color w:val="000000" w:themeColor="text1"/>
          <w:sz w:val="22"/>
          <w:szCs w:val="22"/>
        </w:rPr>
        <w:t>-p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53-Cas9 in N90-CTNNB1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model, and overexpressing MYC plus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Symbol" w:hAnsi="Symbol" w:cs="Arial"/>
          <w:color w:val="000000" w:themeColor="text1"/>
          <w:sz w:val="22"/>
          <w:szCs w:val="22"/>
        </w:rPr>
        <w:t xml:space="preserve">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in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model. </w:t>
      </w:r>
    </w:p>
    <w:p w14:paraId="7EA28769" w14:textId="77777777" w:rsidR="00C3721C" w:rsidRPr="00825A24" w:rsidRDefault="00C3721C" w:rsidP="00C3721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Representative pictures of live tissues collected from N90-CTNNB1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models at indicated months after injection. </w:t>
      </w:r>
    </w:p>
    <w:p w14:paraId="3C31CA45" w14:textId="77777777" w:rsidR="00C3721C" w:rsidRPr="00825A24" w:rsidRDefault="00C3721C" w:rsidP="00C3721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Protein level of </w:t>
      </w:r>
      <w:r w:rsidRPr="00825A24">
        <w:rPr>
          <w:rFonts w:ascii="Symbol" w:hAnsi="Symbol" w:cs="Arial"/>
          <w:color w:val="000000" w:themeColor="text1"/>
          <w:sz w:val="22"/>
          <w:szCs w:val="22"/>
        </w:rPr>
        <w:t>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-catenin of CTNNB1(endogenous WT and N90) and Flag tagged Cas9 were detected by western blotting. </w:t>
      </w:r>
    </w:p>
    <w:p w14:paraId="5D298E1C" w14:textId="77777777" w:rsidR="00C3721C" w:rsidRPr="00825A24" w:rsidRDefault="00C3721C" w:rsidP="00C3721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Quantification of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T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op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flash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luciferase reporter assay transfected with vector or FAH-N90-CTNNB1 were detected. Mean and SEM are shown. Mann-Whitney test. ***, p&lt;0.001.</w:t>
      </w:r>
    </w:p>
    <w:p w14:paraId="1E3DA83B" w14:textId="77777777" w:rsidR="00C3721C" w:rsidRPr="00825A24" w:rsidRDefault="00C3721C" w:rsidP="00C3721C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Correlations between HIF1A mRNA level and the expression of VEGFA, VEGFC and PD-L1 in HCC patients. Correlation was assessed using Pearson’s test. </w:t>
      </w:r>
    </w:p>
    <w:p w14:paraId="3E6BB407" w14:textId="77777777" w:rsidR="00C3721C" w:rsidRPr="00825A24" w:rsidRDefault="00C3721C" w:rsidP="00C3721C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E64D28" w14:textId="77777777" w:rsidR="00C3721C" w:rsidRPr="00825A24" w:rsidRDefault="00C3721C" w:rsidP="00C3721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Figure S2.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TLS responses alter in N90-CTNNB1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versus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models with or without combinatorial immunotherapy.</w:t>
      </w:r>
    </w:p>
    <w:p w14:paraId="522ABE7D" w14:textId="77777777" w:rsidR="00C3721C" w:rsidRPr="00825A24" w:rsidRDefault="00C3721C" w:rsidP="00C3721C">
      <w:pPr>
        <w:numPr>
          <w:ilvl w:val="0"/>
          <w:numId w:val="1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C. Immunofluorescence staining for immune cell and proliferation markers CD45R, CD8A, Ki67 as indicated in liver and spleen, respectively (scale bar, 100</w:t>
      </w:r>
      <w:r w:rsidRPr="00825A24">
        <w:rPr>
          <w:rFonts w:ascii="Symbol" w:hAnsi="Symbol" w:cs="Arial"/>
          <w:color w:val="000000" w:themeColor="text1"/>
          <w:sz w:val="22"/>
          <w:szCs w:val="22"/>
        </w:rPr>
        <w:t>m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m). </w:t>
      </w:r>
    </w:p>
    <w:p w14:paraId="4CDA9BC6" w14:textId="77777777" w:rsidR="00C3721C" w:rsidRPr="00825A24" w:rsidRDefault="00C3721C" w:rsidP="00C3721C">
      <w:pPr>
        <w:numPr>
          <w:ilvl w:val="0"/>
          <w:numId w:val="1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Quantification of CD8A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T cells and CD45R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+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B cells in TLSs on liver section in the 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-/-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models pre- or post- anti-PD-1 plus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VEGFi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treatment. Mean and SEM are shown. Mann-Whitney test. ** depicts p&lt;0.01, ***, p&lt;0.001.</w:t>
      </w:r>
    </w:p>
    <w:p w14:paraId="7996D703" w14:textId="77777777" w:rsidR="00C3721C" w:rsidRPr="00825A24" w:rsidRDefault="00C3721C" w:rsidP="00C3721C">
      <w:pPr>
        <w:spacing w:line="480" w:lineRule="auto"/>
        <w:ind w:left="720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AC3975C" w14:textId="77777777" w:rsidR="00C3721C" w:rsidRPr="00825A24" w:rsidRDefault="00C3721C" w:rsidP="00C3721C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Figure S3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. Combinatorial immunotherapy has distinct effect in the immunologically “hot” 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and “cold” 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models.</w:t>
      </w:r>
    </w:p>
    <w:p w14:paraId="2C927545" w14:textId="77777777" w:rsidR="00C3721C" w:rsidRPr="00825A24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Violin plot showing the log2 normalized counts of gene expression in 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-/-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mice as indicated. </w:t>
      </w:r>
    </w:p>
    <w:p w14:paraId="09A9B189" w14:textId="77777777" w:rsidR="00C3721C" w:rsidRPr="00825A24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Correlation heatmap for all samples’ transcriptomic immune profile from 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-/- 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models.</w:t>
      </w:r>
    </w:p>
    <w:p w14:paraId="4E0C8399" w14:textId="77777777" w:rsidR="00C3721C" w:rsidRPr="00825A24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PCA 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plot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of the variance in immune profile in N90-CTNNB1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mice pre- or post- anti-PD-1 plus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VEGFi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treatment as indicated.</w:t>
      </w:r>
    </w:p>
    <w:p w14:paraId="51217293" w14:textId="77777777" w:rsidR="00C3721C" w:rsidRPr="00825A24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PCA 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plot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of the variance in immune profile in </w:t>
      </w:r>
      <w:proofErr w:type="spellStart"/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mice pre- or post- anti-PD-1 plus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VEGFi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treatment as indicated.</w:t>
      </w:r>
    </w:p>
    <w:p w14:paraId="0B35641F" w14:textId="77777777" w:rsidR="00C3721C" w:rsidRPr="00825A24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Volcano plot depiction of 152 differential expressed genes (DEG) from immune profile in N90-CTNNB1</w:t>
      </w:r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rp</w:t>
      </w:r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>53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mice pre- or post- anti-PD-1 plus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VEGFi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treatment as indicated. The vertical and horizontal dot lines indicate a cut-off of gene expression fold change of 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≥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1.25 or 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≤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-1.25 and a false discovery rate (FDR) ≤ 0.1.</w:t>
      </w:r>
    </w:p>
    <w:p w14:paraId="1A4EB043" w14:textId="77777777" w:rsidR="00C3721C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Volcano plot depiction of 13 differential expressed genes (DEG) from immune profile in </w:t>
      </w:r>
      <w:proofErr w:type="spellStart"/>
      <w:proofErr w:type="gramStart"/>
      <w:r w:rsidRPr="00825A24">
        <w:rPr>
          <w:rFonts w:ascii="Arial" w:hAnsi="Arial" w:cs="Arial"/>
          <w:color w:val="000000" w:themeColor="text1"/>
          <w:sz w:val="22"/>
          <w:szCs w:val="22"/>
        </w:rPr>
        <w:t>Myc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>;T</w:t>
      </w:r>
      <w:r>
        <w:rPr>
          <w:rFonts w:ascii="Arial" w:hAnsi="Arial" w:cs="Arial"/>
          <w:color w:val="000000" w:themeColor="text1"/>
          <w:sz w:val="22"/>
          <w:szCs w:val="22"/>
        </w:rPr>
        <w:t>gfa</w:t>
      </w:r>
      <w:r w:rsidRPr="00825A24">
        <w:rPr>
          <w:rFonts w:ascii="Arial" w:hAnsi="Arial" w:cs="Arial"/>
          <w:color w:val="000000" w:themeColor="text1"/>
          <w:sz w:val="22"/>
          <w:szCs w:val="22"/>
          <w:vertAlign w:val="superscript"/>
        </w:rPr>
        <w:t>OE</w:t>
      </w:r>
      <w:proofErr w:type="spellEnd"/>
      <w:proofErr w:type="gram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mice pre- or post- anti-PD-1 plus </w:t>
      </w:r>
      <w:proofErr w:type="spellStart"/>
      <w:r w:rsidRPr="00825A24">
        <w:rPr>
          <w:rFonts w:ascii="Arial" w:hAnsi="Arial" w:cs="Arial"/>
          <w:color w:val="000000" w:themeColor="text1"/>
          <w:sz w:val="22"/>
          <w:szCs w:val="22"/>
        </w:rPr>
        <w:t>VEGFi</w:t>
      </w:r>
      <w:proofErr w:type="spellEnd"/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treatment as indicated. The vertical and horizontal dot lines indicate a cut-off of gene expression fold change of 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≥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1.25 or </w:t>
      </w:r>
      <w:r w:rsidRPr="00825A24">
        <w:rPr>
          <w:rFonts w:ascii="Arial" w:hAnsi="Arial" w:cs="Arial" w:hint="eastAsia"/>
          <w:color w:val="000000" w:themeColor="text1"/>
          <w:sz w:val="22"/>
          <w:szCs w:val="22"/>
        </w:rPr>
        <w:t>≤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-1.25 and a false discovery rate (FDR) ≤ 0.1.</w:t>
      </w:r>
    </w:p>
    <w:p w14:paraId="57CCBA41" w14:textId="77777777" w:rsidR="00C3721C" w:rsidRPr="00825A24" w:rsidRDefault="00C3721C" w:rsidP="00C3721C">
      <w:pPr>
        <w:numPr>
          <w:ilvl w:val="0"/>
          <w:numId w:val="2"/>
        </w:numPr>
        <w:spacing w:line="480" w:lineRule="auto"/>
        <w:jc w:val="both"/>
        <w:textAlignment w:val="center"/>
        <w:rPr>
          <w:rFonts w:ascii="Arial" w:hAnsi="Arial" w:cs="Arial"/>
          <w:color w:val="000000" w:themeColor="text1"/>
          <w:sz w:val="22"/>
          <w:szCs w:val="22"/>
        </w:rPr>
      </w:pPr>
      <w:r w:rsidRPr="00825A24">
        <w:rPr>
          <w:rFonts w:ascii="Arial" w:hAnsi="Arial" w:cs="Arial"/>
          <w:color w:val="000000" w:themeColor="text1"/>
          <w:sz w:val="22"/>
          <w:szCs w:val="22"/>
        </w:rPr>
        <w:t>Correlation between CTNNB1 mRNA level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 w:hint="eastAsia"/>
          <w:color w:val="000000" w:themeColor="text1"/>
          <w:sz w:val="22"/>
          <w:szCs w:val="22"/>
        </w:rPr>
        <w:t>and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Mef2c</w:t>
      </w:r>
      <w:r w:rsidRPr="00825A24">
        <w:rPr>
          <w:rFonts w:ascii="Arial" w:hAnsi="Arial" w:cs="Arial"/>
          <w:color w:val="000000" w:themeColor="text1"/>
          <w:sz w:val="22"/>
          <w:szCs w:val="22"/>
        </w:rPr>
        <w:t xml:space="preserve"> expression from the samples of HCC patients.</w:t>
      </w:r>
    </w:p>
    <w:p w14:paraId="4F4ED654" w14:textId="77777777" w:rsidR="00C3721C" w:rsidRDefault="00C3721C" w:rsidP="00C372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29A3BB0" w14:textId="70678B10" w:rsidR="00C3721C" w:rsidRDefault="00C3721C" w:rsidP="00C372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14C7F41" wp14:editId="5EBAB19C">
            <wp:extent cx="6400800" cy="6400800"/>
            <wp:effectExtent l="0" t="0" r="0" b="0"/>
            <wp:docPr id="11" name="Picture 1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websit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71F07885" w14:textId="77777777" w:rsidR="00C3721C" w:rsidRDefault="00C3721C" w:rsidP="00C3721C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B3C9513" wp14:editId="1E2FC6DB">
            <wp:extent cx="6214745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7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702DD262" w14:textId="11558693" w:rsidR="008C1695" w:rsidRDefault="00C3721C"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9186057" wp14:editId="5734A027">
            <wp:extent cx="5891530" cy="8229600"/>
            <wp:effectExtent l="0" t="0" r="0" b="0"/>
            <wp:docPr id="13" name="Picture 1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9E4"/>
    <w:multiLevelType w:val="hybridMultilevel"/>
    <w:tmpl w:val="5112AA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F1921"/>
    <w:multiLevelType w:val="multilevel"/>
    <w:tmpl w:val="E7E607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9409C"/>
    <w:multiLevelType w:val="multilevel"/>
    <w:tmpl w:val="E7E607C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845811">
    <w:abstractNumId w:val="1"/>
  </w:num>
  <w:num w:numId="2" w16cid:durableId="666251080">
    <w:abstractNumId w:val="2"/>
  </w:num>
  <w:num w:numId="3" w16cid:durableId="48412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1C"/>
    <w:rsid w:val="008C1695"/>
    <w:rsid w:val="00C3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5658"/>
  <w15:chartTrackingRefBased/>
  <w15:docId w15:val="{4AE3A82A-B46A-40B6-B2DE-8BB31FF3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2022-08-08T15:32:00Z</dcterms:created>
  <dcterms:modified xsi:type="dcterms:W3CDTF">2022-08-08T15:33:00Z</dcterms:modified>
</cp:coreProperties>
</file>