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D34C36" w14:textId="39119185" w:rsidR="00C1090E" w:rsidRPr="00C1090E" w:rsidRDefault="00F830CE" w:rsidP="00386E43">
      <w:pPr>
        <w:jc w:val="center"/>
        <w:rPr>
          <w:rFonts w:ascii="Times New Roman" w:hAnsi="Times New Roman" w:cs="Times New Roman"/>
          <w:sz w:val="22"/>
          <w:szCs w:val="22"/>
        </w:rPr>
      </w:pPr>
      <w:r>
        <w:softHyphen/>
      </w:r>
      <w:r>
        <w:softHyphen/>
      </w:r>
      <w:r>
        <w:softHyphen/>
      </w:r>
    </w:p>
    <w:p w14:paraId="1179F02C" w14:textId="0DFF897A" w:rsidR="00C1090E" w:rsidRPr="00C1090E" w:rsidRDefault="00C1090E" w:rsidP="00C1090E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32EB331D" w14:textId="798EE10C" w:rsidR="00386E43" w:rsidRPr="00B04718" w:rsidRDefault="00386E43" w:rsidP="00386E43">
      <w:pPr>
        <w:pStyle w:val="Title"/>
        <w:rPr>
          <w:rFonts w:ascii="Times New Roman" w:hAnsi="Times New Roman"/>
        </w:rPr>
      </w:pPr>
      <w:r w:rsidRPr="00B04718">
        <w:rPr>
          <w:rFonts w:ascii="Times New Roman" w:hAnsi="Times New Roman"/>
        </w:rPr>
        <w:t>Foreshock properties illuminate nucleation processes of</w:t>
      </w:r>
      <w:r w:rsidR="006E203C">
        <w:rPr>
          <w:rFonts w:ascii="Times New Roman" w:hAnsi="Times New Roman"/>
        </w:rPr>
        <w:t xml:space="preserve"> slow and fast</w:t>
      </w:r>
      <w:bookmarkStart w:id="0" w:name="_GoBack"/>
      <w:bookmarkEnd w:id="0"/>
      <w:r w:rsidRPr="00B04718">
        <w:rPr>
          <w:rFonts w:ascii="Times New Roman" w:hAnsi="Times New Roman"/>
        </w:rPr>
        <w:t xml:space="preserve"> laboratory earthquakes </w:t>
      </w:r>
    </w:p>
    <w:p w14:paraId="0414AB5E" w14:textId="77777777" w:rsidR="00386E43" w:rsidRPr="00B04718" w:rsidRDefault="00386E43" w:rsidP="00386E43">
      <w:pPr>
        <w:rPr>
          <w:rFonts w:ascii="Times New Roman" w:hAnsi="Times New Roman" w:cs="Times New Roman"/>
        </w:rPr>
      </w:pPr>
    </w:p>
    <w:p w14:paraId="27FEE1BC" w14:textId="77777777" w:rsidR="00386E43" w:rsidRPr="00B04718" w:rsidRDefault="00386E43" w:rsidP="00386E43">
      <w:pPr>
        <w:rPr>
          <w:rFonts w:ascii="Times New Roman" w:hAnsi="Times New Roman" w:cs="Times New Roman"/>
        </w:rPr>
      </w:pPr>
    </w:p>
    <w:p w14:paraId="78269FB1" w14:textId="77777777" w:rsidR="00386E43" w:rsidRPr="00B04718" w:rsidRDefault="00386E43" w:rsidP="00386E43">
      <w:pPr>
        <w:rPr>
          <w:rFonts w:ascii="Times New Roman" w:hAnsi="Times New Roman" w:cs="Times New Roman"/>
        </w:rPr>
      </w:pPr>
    </w:p>
    <w:p w14:paraId="7CC9448E" w14:textId="77777777" w:rsidR="00386E43" w:rsidRPr="00B04718" w:rsidRDefault="00386E43" w:rsidP="00386E43">
      <w:pPr>
        <w:widowControl w:val="0"/>
        <w:suppressLineNumbers/>
        <w:autoSpaceDE w:val="0"/>
        <w:autoSpaceDN w:val="0"/>
        <w:adjustRightInd w:val="0"/>
        <w:spacing w:after="240"/>
        <w:jc w:val="center"/>
        <w:outlineLvl w:val="0"/>
        <w:rPr>
          <w:rFonts w:ascii="Times New Roman" w:hAnsi="Times New Roman" w:cs="Times New Roman"/>
        </w:rPr>
      </w:pPr>
      <w:r w:rsidRPr="00B04718">
        <w:rPr>
          <w:rFonts w:ascii="Times New Roman" w:hAnsi="Times New Roman" w:cs="Times New Roman"/>
        </w:rPr>
        <w:t>David C. Bolton</w:t>
      </w:r>
      <w:r w:rsidRPr="00B04718">
        <w:rPr>
          <w:rFonts w:ascii="Times New Roman" w:hAnsi="Times New Roman" w:cs="Times New Roman"/>
          <w:vertAlign w:val="superscript"/>
        </w:rPr>
        <w:t>1*</w:t>
      </w:r>
      <w:r w:rsidRPr="00B04718">
        <w:rPr>
          <w:rFonts w:ascii="Times New Roman" w:hAnsi="Times New Roman" w:cs="Times New Roman"/>
        </w:rPr>
        <w:t>, Chris Marone</w:t>
      </w:r>
      <w:r w:rsidRPr="00B04718">
        <w:rPr>
          <w:rFonts w:ascii="Times New Roman" w:hAnsi="Times New Roman" w:cs="Times New Roman"/>
          <w:vertAlign w:val="superscript"/>
        </w:rPr>
        <w:t>2,3</w:t>
      </w:r>
      <w:r w:rsidRPr="00B04718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B04718">
        <w:rPr>
          <w:rFonts w:ascii="Times New Roman" w:hAnsi="Times New Roman" w:cs="Times New Roman"/>
          <w:color w:val="000000" w:themeColor="text1"/>
        </w:rPr>
        <w:t>Demian</w:t>
      </w:r>
      <w:proofErr w:type="spellEnd"/>
      <w:r w:rsidRPr="00B04718">
        <w:rPr>
          <w:rFonts w:ascii="Times New Roman" w:hAnsi="Times New Roman" w:cs="Times New Roman"/>
          <w:color w:val="000000" w:themeColor="text1"/>
        </w:rPr>
        <w:t xml:space="preserve"> Saffer</w:t>
      </w:r>
      <w:r w:rsidRPr="00B04718">
        <w:rPr>
          <w:rFonts w:ascii="Times New Roman" w:hAnsi="Times New Roman" w:cs="Times New Roman"/>
          <w:vertAlign w:val="superscript"/>
        </w:rPr>
        <w:t>4</w:t>
      </w:r>
      <w:r w:rsidRPr="00B04718">
        <w:rPr>
          <w:rFonts w:ascii="Times New Roman" w:hAnsi="Times New Roman" w:cs="Times New Roman"/>
          <w:color w:val="000000" w:themeColor="text1"/>
        </w:rPr>
        <w:t>, and Daniel T. Trugman</w:t>
      </w:r>
      <w:r w:rsidRPr="00B04718">
        <w:rPr>
          <w:rFonts w:ascii="Times New Roman" w:hAnsi="Times New Roman" w:cs="Times New Roman"/>
          <w:color w:val="000000" w:themeColor="text1"/>
          <w:vertAlign w:val="superscript"/>
        </w:rPr>
        <w:t>5</w:t>
      </w:r>
    </w:p>
    <w:p w14:paraId="5057F425" w14:textId="77777777" w:rsidR="00386E43" w:rsidRPr="00B04718" w:rsidRDefault="00386E43" w:rsidP="00386E43">
      <w:pPr>
        <w:pStyle w:val="Affiliation"/>
        <w:jc w:val="center"/>
      </w:pPr>
      <w:r w:rsidRPr="00B04718">
        <w:rPr>
          <w:vertAlign w:val="superscript"/>
        </w:rPr>
        <w:t>1</w:t>
      </w:r>
      <w:r w:rsidRPr="00B04718">
        <w:t xml:space="preserve"> Bureau of Economic Geology, Jackson School of Geosciences, University of Texas, Austin, TX.</w:t>
      </w:r>
    </w:p>
    <w:p w14:paraId="593E1352" w14:textId="77777777" w:rsidR="00386E43" w:rsidRPr="00B04718" w:rsidRDefault="00386E43" w:rsidP="00386E43">
      <w:pPr>
        <w:pStyle w:val="Affiliation"/>
        <w:jc w:val="center"/>
      </w:pPr>
      <w:r w:rsidRPr="00B04718">
        <w:rPr>
          <w:vertAlign w:val="superscript"/>
        </w:rPr>
        <w:t>2</w:t>
      </w:r>
      <w:r w:rsidRPr="00B04718">
        <w:t>Department of Geosciences, Pennsylvania State University, University Park, Pennsylvania.</w:t>
      </w:r>
    </w:p>
    <w:p w14:paraId="3D780F80" w14:textId="77777777" w:rsidR="00386E43" w:rsidRPr="00B04718" w:rsidRDefault="00386E43" w:rsidP="00386E43">
      <w:pPr>
        <w:pStyle w:val="Affiliation"/>
        <w:jc w:val="center"/>
      </w:pPr>
      <w:r w:rsidRPr="00B04718">
        <w:rPr>
          <w:vertAlign w:val="superscript"/>
        </w:rPr>
        <w:t>3</w:t>
      </w:r>
      <w:r w:rsidRPr="00B04718">
        <w:t xml:space="preserve">Departimento di </w:t>
      </w:r>
      <w:proofErr w:type="spellStart"/>
      <w:r w:rsidRPr="00B04718">
        <w:t>Scienze</w:t>
      </w:r>
      <w:proofErr w:type="spellEnd"/>
      <w:r w:rsidRPr="00B04718">
        <w:t xml:space="preserve"> </w:t>
      </w:r>
      <w:proofErr w:type="spellStart"/>
      <w:r w:rsidRPr="00B04718">
        <w:t>della</w:t>
      </w:r>
      <w:proofErr w:type="spellEnd"/>
      <w:r w:rsidRPr="00B04718">
        <w:t xml:space="preserve"> Terra, La Sapienza </w:t>
      </w:r>
      <w:proofErr w:type="spellStart"/>
      <w:r w:rsidRPr="00B04718">
        <w:t>Universita</w:t>
      </w:r>
      <w:proofErr w:type="spellEnd"/>
      <w:r w:rsidRPr="00B04718">
        <w:t xml:space="preserve"> di Roma, Italy.</w:t>
      </w:r>
    </w:p>
    <w:p w14:paraId="41F76BC1" w14:textId="77777777" w:rsidR="00386E43" w:rsidRPr="00B04718" w:rsidRDefault="00386E43" w:rsidP="00386E43">
      <w:pPr>
        <w:pStyle w:val="Affiliation"/>
        <w:jc w:val="center"/>
      </w:pPr>
      <w:r w:rsidRPr="00B04718">
        <w:rPr>
          <w:vertAlign w:val="superscript"/>
        </w:rPr>
        <w:t>4</w:t>
      </w:r>
      <w:r w:rsidRPr="00B04718">
        <w:t xml:space="preserve"> University of Texas Institute for Geophysics, Jackson School of Geosciences, University of Texas, Austin, TX.</w:t>
      </w:r>
    </w:p>
    <w:p w14:paraId="4BEDA52D" w14:textId="77777777" w:rsidR="00386E43" w:rsidRPr="00B04718" w:rsidRDefault="00386E43" w:rsidP="00386E43">
      <w:pPr>
        <w:pStyle w:val="Affiliation"/>
        <w:jc w:val="center"/>
      </w:pPr>
      <w:r w:rsidRPr="00B04718">
        <w:rPr>
          <w:vertAlign w:val="superscript"/>
        </w:rPr>
        <w:t>5</w:t>
      </w:r>
      <w:r w:rsidRPr="00B04718">
        <w:t>Nevada Seismological Laboratory, University of Nevada, Reno, Nevada</w:t>
      </w:r>
    </w:p>
    <w:p w14:paraId="134C0A33" w14:textId="77777777" w:rsidR="00C1090E" w:rsidRPr="00C1090E" w:rsidRDefault="00C1090E" w:rsidP="00C1090E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2"/>
          <w:szCs w:val="22"/>
        </w:rPr>
      </w:pPr>
      <w:r w:rsidRPr="00C1090E" w:rsidDel="00A50033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02260A9" w14:textId="77777777" w:rsidR="00C1090E" w:rsidRDefault="00C1090E" w:rsidP="00C1090E">
      <w:pPr>
        <w:spacing w:before="100" w:beforeAutospacing="1" w:after="100" w:afterAutospacing="1"/>
        <w:rPr>
          <w:sz w:val="22"/>
          <w:szCs w:val="22"/>
        </w:rPr>
      </w:pPr>
    </w:p>
    <w:p w14:paraId="71E32C2D" w14:textId="77777777" w:rsidR="00C1090E" w:rsidRDefault="00C1090E" w:rsidP="00C1090E">
      <w:pPr>
        <w:spacing w:before="100" w:beforeAutospacing="1" w:after="100" w:afterAutospacing="1"/>
        <w:rPr>
          <w:sz w:val="22"/>
          <w:szCs w:val="22"/>
        </w:rPr>
      </w:pPr>
    </w:p>
    <w:p w14:paraId="3322B30F" w14:textId="77777777" w:rsidR="00C1090E" w:rsidRDefault="00C1090E" w:rsidP="00C1090E">
      <w:pPr>
        <w:spacing w:before="100" w:beforeAutospacing="1" w:after="100" w:afterAutospacing="1"/>
        <w:rPr>
          <w:sz w:val="22"/>
          <w:szCs w:val="22"/>
        </w:rPr>
      </w:pPr>
    </w:p>
    <w:p w14:paraId="553C11E7" w14:textId="77777777" w:rsidR="00C1090E" w:rsidRDefault="00C1090E" w:rsidP="00C1090E">
      <w:pPr>
        <w:spacing w:before="100" w:beforeAutospacing="1" w:after="100" w:afterAutospacing="1"/>
        <w:rPr>
          <w:sz w:val="22"/>
          <w:szCs w:val="22"/>
        </w:rPr>
      </w:pPr>
    </w:p>
    <w:p w14:paraId="7C87A162" w14:textId="77777777" w:rsidR="00C1090E" w:rsidRDefault="00C1090E" w:rsidP="00C1090E">
      <w:pPr>
        <w:spacing w:before="100" w:beforeAutospacing="1" w:after="100" w:afterAutospacing="1"/>
        <w:rPr>
          <w:sz w:val="22"/>
          <w:szCs w:val="22"/>
        </w:rPr>
      </w:pPr>
    </w:p>
    <w:p w14:paraId="7A471DF7" w14:textId="77777777" w:rsidR="00C1090E" w:rsidRPr="00F3538F" w:rsidRDefault="00C1090E" w:rsidP="00C1090E">
      <w:pPr>
        <w:spacing w:before="100" w:beforeAutospacing="1" w:after="100" w:afterAutospacing="1"/>
        <w:rPr>
          <w:sz w:val="22"/>
          <w:szCs w:val="22"/>
        </w:rPr>
      </w:pPr>
    </w:p>
    <w:p w14:paraId="15558631" w14:textId="77777777" w:rsidR="00C1090E" w:rsidRPr="00E40896" w:rsidRDefault="00C1090E" w:rsidP="00C1090E">
      <w:pPr>
        <w:rPr>
          <w:rFonts w:ascii="Myriad Pro" w:hAnsi="Myriad Pro"/>
          <w:b/>
        </w:rPr>
      </w:pPr>
    </w:p>
    <w:p w14:paraId="0D09CA37" w14:textId="77777777" w:rsidR="00C1090E" w:rsidRPr="00E40896" w:rsidRDefault="00C1090E" w:rsidP="00C1090E">
      <w:pPr>
        <w:rPr>
          <w:rFonts w:ascii="Myriad Pro" w:hAnsi="Myriad Pro"/>
        </w:rPr>
      </w:pPr>
    </w:p>
    <w:p w14:paraId="4B9F4D3D" w14:textId="77777777" w:rsidR="00C1090E" w:rsidRDefault="00C1090E" w:rsidP="00C1090E"/>
    <w:p w14:paraId="3962EBE9" w14:textId="77777777" w:rsidR="00C1090E" w:rsidRPr="00CE6EAA" w:rsidRDefault="00C1090E" w:rsidP="00C1090E">
      <w:pPr>
        <w:pStyle w:val="SMText"/>
        <w:rPr>
          <w:rFonts w:ascii="Myriad Pro" w:hAnsi="Myriad Pro"/>
        </w:rPr>
      </w:pPr>
    </w:p>
    <w:p w14:paraId="23011FD0" w14:textId="77777777" w:rsidR="00C1090E" w:rsidRPr="00CE6EAA" w:rsidRDefault="00C1090E" w:rsidP="00C1090E">
      <w:pPr>
        <w:pStyle w:val="SMcaption"/>
        <w:rPr>
          <w:rFonts w:ascii="Myriad Pro" w:hAnsi="Myriad Pro"/>
        </w:rPr>
      </w:pPr>
      <w:r>
        <w:rPr>
          <w:rFonts w:ascii="Myriad Pro" w:hAnsi="Myriad Pro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545CC23B" wp14:editId="0594304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488474" cy="2688336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8474" cy="26883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7D2E440D" w14:textId="77777777" w:rsidR="00C1090E" w:rsidRPr="00BB5DA6" w:rsidRDefault="00C1090E" w:rsidP="00C1090E">
      <w:pPr>
        <w:pStyle w:val="SMHeading"/>
        <w:jc w:val="both"/>
        <w:rPr>
          <w:sz w:val="22"/>
          <w:szCs w:val="22"/>
        </w:rPr>
      </w:pPr>
      <w:r w:rsidRPr="00BB5DA6">
        <w:rPr>
          <w:sz w:val="22"/>
          <w:szCs w:val="22"/>
        </w:rPr>
        <w:t xml:space="preserve">Figure S1. A-B: </w:t>
      </w:r>
      <w:r>
        <w:rPr>
          <w:b w:val="0"/>
          <w:sz w:val="22"/>
          <w:szCs w:val="22"/>
        </w:rPr>
        <w:t>Example of two</w:t>
      </w:r>
      <w:r w:rsidRPr="00BB5DA6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waveforms recorded on station 15</w:t>
      </w:r>
      <w:r w:rsidRPr="00BB5DA6">
        <w:rPr>
          <w:b w:val="0"/>
          <w:sz w:val="22"/>
          <w:szCs w:val="22"/>
        </w:rPr>
        <w:t xml:space="preserve"> from 8 MPa</w:t>
      </w:r>
      <w:r>
        <w:rPr>
          <w:b w:val="0"/>
          <w:sz w:val="22"/>
          <w:szCs w:val="22"/>
        </w:rPr>
        <w:t xml:space="preserve">. The full waveforms </w:t>
      </w:r>
      <w:r w:rsidRPr="00BB5DA6">
        <w:rPr>
          <w:b w:val="0"/>
          <w:sz w:val="22"/>
          <w:szCs w:val="22"/>
        </w:rPr>
        <w:t>are plotted in black and highlighted in red are</w:t>
      </w:r>
      <w:r>
        <w:rPr>
          <w:b w:val="0"/>
          <w:sz w:val="22"/>
          <w:szCs w:val="22"/>
        </w:rPr>
        <w:t xml:space="preserve"> the </w:t>
      </w:r>
      <w:r w:rsidRPr="00BB5DA6">
        <w:rPr>
          <w:b w:val="0"/>
          <w:sz w:val="22"/>
          <w:szCs w:val="22"/>
        </w:rPr>
        <w:t xml:space="preserve">50 </w:t>
      </w:r>
      <w:r w:rsidRPr="00BB5DA6">
        <w:rPr>
          <w:b w:val="0"/>
          <w:sz w:val="22"/>
          <w:szCs w:val="22"/>
        </w:rPr>
        <w:sym w:font="Symbol" w:char="F06D"/>
      </w:r>
      <w:r w:rsidRPr="00BB5DA6">
        <w:rPr>
          <w:b w:val="0"/>
          <w:sz w:val="22"/>
          <w:szCs w:val="22"/>
        </w:rPr>
        <w:t xml:space="preserve">s templates </w:t>
      </w:r>
      <w:r>
        <w:rPr>
          <w:b w:val="0"/>
          <w:sz w:val="22"/>
          <w:szCs w:val="22"/>
        </w:rPr>
        <w:t>used</w:t>
      </w:r>
      <w:r w:rsidRPr="00BB5DA6">
        <w:rPr>
          <w:b w:val="0"/>
          <w:sz w:val="22"/>
          <w:szCs w:val="22"/>
        </w:rPr>
        <w:t xml:space="preserve"> for computing cross-correlation coefficients. The red templates start 10 </w:t>
      </w:r>
      <w:r w:rsidRPr="00BB5DA6">
        <w:rPr>
          <w:b w:val="0"/>
          <w:sz w:val="22"/>
          <w:szCs w:val="22"/>
        </w:rPr>
        <w:sym w:font="Symbol" w:char="F06D"/>
      </w:r>
      <w:r w:rsidRPr="00BB5DA6">
        <w:rPr>
          <w:b w:val="0"/>
          <w:sz w:val="22"/>
          <w:szCs w:val="22"/>
        </w:rPr>
        <w:t xml:space="preserve">s prior to the p-wave arrival time and extend 40 </w:t>
      </w:r>
      <w:r w:rsidRPr="00BB5DA6">
        <w:rPr>
          <w:b w:val="0"/>
          <w:sz w:val="22"/>
          <w:szCs w:val="22"/>
        </w:rPr>
        <w:sym w:font="Symbol" w:char="F06D"/>
      </w:r>
      <w:r w:rsidRPr="00BB5DA6">
        <w:rPr>
          <w:b w:val="0"/>
          <w:sz w:val="22"/>
          <w:szCs w:val="22"/>
        </w:rPr>
        <w:t xml:space="preserve">s after the arrival time. </w:t>
      </w:r>
      <w:r w:rsidRPr="00812C5A">
        <w:rPr>
          <w:bCs w:val="0"/>
          <w:sz w:val="22"/>
          <w:szCs w:val="22"/>
        </w:rPr>
        <w:t>C.</w:t>
      </w:r>
      <w:r w:rsidRPr="00BB5DA6">
        <w:rPr>
          <w:b w:val="0"/>
          <w:sz w:val="22"/>
          <w:szCs w:val="22"/>
        </w:rPr>
        <w:t xml:space="preserve"> Cross-correlation function derived from templates in A and B</w:t>
      </w:r>
      <w:r>
        <w:rPr>
          <w:b w:val="0"/>
          <w:sz w:val="22"/>
          <w:szCs w:val="22"/>
        </w:rPr>
        <w:t xml:space="preserve">. We quantify waveform similarity by </w:t>
      </w:r>
      <w:r w:rsidRPr="00BB5DA6">
        <w:rPr>
          <w:b w:val="0"/>
          <w:sz w:val="22"/>
          <w:szCs w:val="22"/>
        </w:rPr>
        <w:t>measur</w:t>
      </w:r>
      <w:r>
        <w:rPr>
          <w:b w:val="0"/>
          <w:sz w:val="22"/>
          <w:szCs w:val="22"/>
        </w:rPr>
        <w:t>ing</w:t>
      </w:r>
      <w:r w:rsidRPr="00BB5DA6">
        <w:rPr>
          <w:b w:val="0"/>
          <w:sz w:val="22"/>
          <w:szCs w:val="22"/>
        </w:rPr>
        <w:t xml:space="preserve"> the </w:t>
      </w:r>
      <w:r>
        <w:rPr>
          <w:b w:val="0"/>
          <w:sz w:val="22"/>
          <w:szCs w:val="22"/>
        </w:rPr>
        <w:t xml:space="preserve">maximum absolute value </w:t>
      </w:r>
      <w:r w:rsidRPr="00BB5DA6">
        <w:rPr>
          <w:b w:val="0"/>
          <w:sz w:val="22"/>
          <w:szCs w:val="22"/>
        </w:rPr>
        <w:t>of the cross-correlation function</w:t>
      </w:r>
      <w:r>
        <w:rPr>
          <w:b w:val="0"/>
          <w:sz w:val="22"/>
          <w:szCs w:val="22"/>
        </w:rPr>
        <w:t xml:space="preserve">. The time-lag of the peak cross-correlation coefficient represents the differential travel-time between event pairs. </w:t>
      </w:r>
    </w:p>
    <w:p w14:paraId="72F5B097" w14:textId="77777777" w:rsidR="00C1090E" w:rsidRDefault="00C1090E" w:rsidP="00C1090E">
      <w:pPr>
        <w:pStyle w:val="SMcaption"/>
        <w:rPr>
          <w:rFonts w:ascii="Myriad Pro" w:hAnsi="Myriad Pro"/>
          <w:sz w:val="22"/>
          <w:szCs w:val="22"/>
        </w:rPr>
      </w:pPr>
    </w:p>
    <w:p w14:paraId="56847316" w14:textId="77777777" w:rsidR="00C1090E" w:rsidRPr="00CE6EAA" w:rsidRDefault="00C1090E" w:rsidP="00C1090E">
      <w:pPr>
        <w:pStyle w:val="SMcaption"/>
        <w:rPr>
          <w:rFonts w:ascii="Myriad Pro" w:hAnsi="Myriad Pro"/>
          <w:b/>
          <w:i/>
        </w:rPr>
      </w:pPr>
    </w:p>
    <w:p w14:paraId="323FF1ED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5A30F041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227DE1AE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5247918C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1EA790B0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1D6667D6" w14:textId="77777777" w:rsidR="00C1090E" w:rsidRDefault="00C1090E" w:rsidP="00C1090E">
      <w:pPr>
        <w:pStyle w:val="SMcaption"/>
        <w:rPr>
          <w:rFonts w:ascii="Myriad Pro" w:hAnsi="Myriad Pro"/>
        </w:rPr>
      </w:pPr>
    </w:p>
    <w:p w14:paraId="7CAA438C" w14:textId="77777777" w:rsidR="00C1090E" w:rsidRDefault="00C1090E" w:rsidP="00C1090E">
      <w:pPr>
        <w:pStyle w:val="SMcaption"/>
        <w:rPr>
          <w:rFonts w:ascii="Myriad Pro" w:hAnsi="Myriad Pro"/>
        </w:rPr>
      </w:pPr>
    </w:p>
    <w:p w14:paraId="2AEE44A7" w14:textId="77777777" w:rsidR="00C1090E" w:rsidRDefault="00C1090E" w:rsidP="00C1090E">
      <w:pPr>
        <w:pStyle w:val="SMcaption"/>
        <w:rPr>
          <w:rFonts w:ascii="Myriad Pro" w:hAnsi="Myriad Pro"/>
        </w:rPr>
      </w:pPr>
    </w:p>
    <w:p w14:paraId="11CC78A3" w14:textId="77777777" w:rsidR="00C1090E" w:rsidRDefault="00C1090E" w:rsidP="00C1090E">
      <w:pPr>
        <w:pStyle w:val="SMcaption"/>
        <w:rPr>
          <w:rFonts w:ascii="Myriad Pro" w:hAnsi="Myriad Pro"/>
        </w:rPr>
      </w:pPr>
    </w:p>
    <w:p w14:paraId="6C3CC101" w14:textId="77777777" w:rsidR="00C1090E" w:rsidRDefault="00C1090E" w:rsidP="00C1090E">
      <w:pPr>
        <w:pStyle w:val="SMcaption"/>
        <w:rPr>
          <w:rFonts w:ascii="Myriad Pro" w:hAnsi="Myriad Pro"/>
        </w:rPr>
      </w:pPr>
    </w:p>
    <w:p w14:paraId="71C5419D" w14:textId="77777777" w:rsidR="00C1090E" w:rsidRDefault="00C1090E" w:rsidP="00C1090E">
      <w:pPr>
        <w:pStyle w:val="SMcaption"/>
        <w:rPr>
          <w:rFonts w:ascii="Myriad Pro" w:hAnsi="Myriad Pro"/>
        </w:rPr>
      </w:pPr>
    </w:p>
    <w:p w14:paraId="377326C9" w14:textId="77777777" w:rsidR="00C1090E" w:rsidRDefault="00C1090E" w:rsidP="00C1090E">
      <w:pPr>
        <w:pStyle w:val="SMcaption"/>
        <w:rPr>
          <w:rFonts w:ascii="Myriad Pro" w:hAnsi="Myriad Pro"/>
        </w:rPr>
      </w:pPr>
    </w:p>
    <w:p w14:paraId="57A3C582" w14:textId="77777777" w:rsidR="00C1090E" w:rsidRDefault="00C1090E" w:rsidP="00C1090E">
      <w:pPr>
        <w:pStyle w:val="SMcaption"/>
        <w:rPr>
          <w:rFonts w:ascii="Myriad Pro" w:hAnsi="Myriad Pro"/>
        </w:rPr>
      </w:pPr>
    </w:p>
    <w:p w14:paraId="40DCF9EC" w14:textId="77777777" w:rsidR="00C1090E" w:rsidRDefault="00C1090E" w:rsidP="00C1090E">
      <w:pPr>
        <w:pStyle w:val="SMcaption"/>
        <w:rPr>
          <w:rFonts w:ascii="Myriad Pro" w:hAnsi="Myriad Pro"/>
        </w:rPr>
      </w:pPr>
    </w:p>
    <w:p w14:paraId="786CA993" w14:textId="77777777" w:rsidR="00C1090E" w:rsidRDefault="00C1090E" w:rsidP="00C1090E">
      <w:pPr>
        <w:pStyle w:val="SMcaption"/>
        <w:rPr>
          <w:rFonts w:ascii="Myriad Pro" w:hAnsi="Myriad Pro"/>
        </w:rPr>
      </w:pPr>
    </w:p>
    <w:p w14:paraId="7BB25A3E" w14:textId="77777777" w:rsidR="00C1090E" w:rsidRDefault="00C1090E" w:rsidP="00C1090E">
      <w:pPr>
        <w:pStyle w:val="SMcaption"/>
        <w:rPr>
          <w:rFonts w:ascii="Myriad Pro" w:hAnsi="Myriad Pro"/>
        </w:rPr>
      </w:pPr>
    </w:p>
    <w:p w14:paraId="043D07D2" w14:textId="3E351152" w:rsidR="00C1090E" w:rsidRDefault="00C1090E" w:rsidP="00C1090E">
      <w:pPr>
        <w:pStyle w:val="SMcaption"/>
        <w:rPr>
          <w:rFonts w:ascii="Myriad Pro" w:hAnsi="Myriad Pro"/>
        </w:rPr>
      </w:pPr>
    </w:p>
    <w:p w14:paraId="3461AA2E" w14:textId="14E6556D" w:rsidR="00C1090E" w:rsidRPr="00CE6EAA" w:rsidRDefault="00C1090E" w:rsidP="00C1090E">
      <w:pPr>
        <w:pStyle w:val="SMcaption"/>
        <w:rPr>
          <w:rFonts w:ascii="Myriad Pro" w:hAnsi="Myriad Pro"/>
        </w:rPr>
      </w:pPr>
      <w:r>
        <w:rPr>
          <w:rFonts w:ascii="Myriad Pro" w:hAnsi="Myriad Pro"/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10D8570" wp14:editId="0060D1E6">
            <wp:simplePos x="0" y="0"/>
            <wp:positionH relativeFrom="column">
              <wp:posOffset>-12065</wp:posOffset>
            </wp:positionH>
            <wp:positionV relativeFrom="paragraph">
              <wp:posOffset>173990</wp:posOffset>
            </wp:positionV>
            <wp:extent cx="5486847" cy="3118104"/>
            <wp:effectExtent l="0" t="0" r="0" b="0"/>
            <wp:wrapSquare wrapText="bothSides"/>
            <wp:docPr id="3" name="Picture 3" descr="Graphical user interface, chart, histo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chart, histogram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847" cy="31181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1CA649B" w14:textId="77777777" w:rsidR="00C1090E" w:rsidRPr="00BB5DA6" w:rsidRDefault="00C1090E" w:rsidP="00C1090E">
      <w:pPr>
        <w:pStyle w:val="SMHeading"/>
        <w:jc w:val="both"/>
        <w:rPr>
          <w:sz w:val="22"/>
          <w:szCs w:val="22"/>
        </w:rPr>
      </w:pPr>
      <w:r w:rsidRPr="00BB5DA6">
        <w:rPr>
          <w:sz w:val="22"/>
          <w:szCs w:val="22"/>
        </w:rPr>
        <w:t xml:space="preserve">Figure S2. A-D </w:t>
      </w:r>
      <w:r w:rsidRPr="00BB5DA6">
        <w:rPr>
          <w:b w:val="0"/>
          <w:sz w:val="22"/>
          <w:szCs w:val="22"/>
        </w:rPr>
        <w:t>Histograms of maximum cross-correlation coefficients derived from 15 stick-slip cycles</w:t>
      </w:r>
      <w:r>
        <w:rPr>
          <w:b w:val="0"/>
          <w:sz w:val="22"/>
          <w:szCs w:val="22"/>
        </w:rPr>
        <w:t xml:space="preserve"> at each normal stress</w:t>
      </w:r>
      <w:r w:rsidRPr="00BB5DA6">
        <w:rPr>
          <w:b w:val="0"/>
          <w:sz w:val="22"/>
          <w:szCs w:val="22"/>
        </w:rPr>
        <w:t xml:space="preserve"> (see main text for details). </w:t>
      </w:r>
      <w:r>
        <w:rPr>
          <w:b w:val="0"/>
          <w:sz w:val="22"/>
          <w:szCs w:val="22"/>
        </w:rPr>
        <w:t xml:space="preserve">We define “high” waveform similarity for each distribution as event pairs that have </w:t>
      </w:r>
      <w:r w:rsidRPr="00BB5DA6">
        <w:rPr>
          <w:b w:val="0"/>
          <w:sz w:val="22"/>
          <w:szCs w:val="22"/>
        </w:rPr>
        <w:t>cross-correlation coefficient</w:t>
      </w:r>
      <w:r>
        <w:rPr>
          <w:b w:val="0"/>
          <w:sz w:val="22"/>
          <w:szCs w:val="22"/>
        </w:rPr>
        <w:t>s &gt;=</w:t>
      </w:r>
      <w:r w:rsidRPr="00BB5DA6">
        <w:rPr>
          <w:b w:val="0"/>
          <w:sz w:val="22"/>
          <w:szCs w:val="22"/>
        </w:rPr>
        <w:t>75</w:t>
      </w:r>
      <w:r w:rsidRPr="00BB5DA6">
        <w:rPr>
          <w:b w:val="0"/>
          <w:sz w:val="22"/>
          <w:szCs w:val="22"/>
          <w:vertAlign w:val="superscript"/>
        </w:rPr>
        <w:t>th</w:t>
      </w:r>
      <w:r w:rsidRPr="00BB5DA6">
        <w:rPr>
          <w:b w:val="0"/>
          <w:sz w:val="22"/>
          <w:szCs w:val="22"/>
        </w:rPr>
        <w:t xml:space="preserve"> percentile. Note, that the high similarity threshold scales inversely with normal stress. </w:t>
      </w:r>
      <w:r>
        <w:rPr>
          <w:b w:val="0"/>
          <w:sz w:val="22"/>
          <w:szCs w:val="22"/>
        </w:rPr>
        <w:t>Defining high similarity at the 75</w:t>
      </w:r>
      <w:r w:rsidRPr="00D76E3E">
        <w:rPr>
          <w:b w:val="0"/>
          <w:sz w:val="22"/>
          <w:szCs w:val="22"/>
          <w:vertAlign w:val="superscript"/>
        </w:rPr>
        <w:t>th</w:t>
      </w:r>
      <w:r>
        <w:rPr>
          <w:b w:val="0"/>
          <w:sz w:val="22"/>
          <w:szCs w:val="22"/>
        </w:rPr>
        <w:t xml:space="preserve"> percentile is arbitrary, but this produces a systematic way to quantify the tails of each distribution. Furthermore, because there are many event pairs (&gt; 100) above the 75</w:t>
      </w:r>
      <w:r w:rsidRPr="002B2D55">
        <w:rPr>
          <w:b w:val="0"/>
          <w:sz w:val="22"/>
          <w:szCs w:val="22"/>
          <w:vertAlign w:val="superscript"/>
        </w:rPr>
        <w:t>th</w:t>
      </w:r>
      <w:r>
        <w:rPr>
          <w:b w:val="0"/>
          <w:sz w:val="22"/>
          <w:szCs w:val="22"/>
        </w:rPr>
        <w:t xml:space="preserve"> percentile we can further quantify the systematics of these data to better understand their connection and/or lack thereof to faulting processes (e.g., Figure 3; Figure S3). </w:t>
      </w:r>
    </w:p>
    <w:p w14:paraId="6C824321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5C564B5D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75960AB8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1826302E" w14:textId="3186586A" w:rsidR="00C1090E" w:rsidRDefault="00A5339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  <w:r>
        <w:rPr>
          <w:rFonts w:ascii="Myriad Pro" w:hAnsi="Myriad Pro"/>
          <w:bCs/>
          <w:iCs/>
          <w:sz w:val="22"/>
          <w:szCs w:val="22"/>
        </w:rPr>
        <w:softHyphen/>
      </w:r>
      <w:r>
        <w:rPr>
          <w:rFonts w:ascii="Myriad Pro" w:hAnsi="Myriad Pro"/>
          <w:bCs/>
          <w:iCs/>
          <w:sz w:val="22"/>
          <w:szCs w:val="22"/>
        </w:rPr>
        <w:softHyphen/>
      </w:r>
    </w:p>
    <w:p w14:paraId="0C130797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5116EC25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776E1B6F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561F62EA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0D2292F0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026BB232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789FD3B2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268941F6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7AB4534E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72ECC87A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00D3D4F4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599D4604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0193FC32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253EC8F5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74B01AB8" w14:textId="77777777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22FE07A2" w14:textId="3252A4BA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27863090" w14:textId="4C0D2896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2FDADB6F" w14:textId="72D81F71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  <w:r>
        <w:rPr>
          <w:rFonts w:ascii="Myriad Pro" w:hAnsi="Myriad Pro"/>
          <w:bCs/>
          <w:iCs/>
          <w:noProof/>
          <w:sz w:val="22"/>
          <w:szCs w:val="22"/>
        </w:rPr>
        <w:lastRenderedPageBreak/>
        <w:drawing>
          <wp:anchor distT="0" distB="0" distL="114300" distR="114300" simplePos="0" relativeHeight="251663360" behindDoc="0" locked="0" layoutInCell="1" allowOverlap="1" wp14:anchorId="4509A2B6" wp14:editId="09FFA642">
            <wp:simplePos x="0" y="0"/>
            <wp:positionH relativeFrom="column">
              <wp:posOffset>1205230</wp:posOffset>
            </wp:positionH>
            <wp:positionV relativeFrom="paragraph">
              <wp:posOffset>173</wp:posOffset>
            </wp:positionV>
            <wp:extent cx="3215640" cy="6151245"/>
            <wp:effectExtent l="0" t="0" r="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5640" cy="6151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7455EC" w14:textId="7E21D43D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06779A9C" w14:textId="2F99D844" w:rsidR="00C1090E" w:rsidRDefault="00C1090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3C0A7B93" w14:textId="15E091DD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63489563" w14:textId="7297E974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48E3F5F6" w14:textId="6C5FAAB7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2D253235" w14:textId="0703DB52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3A0197E1" w14:textId="6A2C6A54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44F7FF51" w14:textId="790AA85B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28E99469" w14:textId="23EF429C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2CDB1292" w14:textId="6B6431D8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7DD91E41" w14:textId="0D6AAE4F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50ADC891" w14:textId="35F44189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7682FCF5" w14:textId="1A2F3B31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20FE87C4" w14:textId="5FAB302F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45646DF0" w14:textId="38DA7B7C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30C02215" w14:textId="55E857E5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4D80C4FB" w14:textId="6011B463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224226B0" w14:textId="5ED2F6EB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5E576C10" w14:textId="5AD981B8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65525CDD" w14:textId="23C16F24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4ED17E49" w14:textId="55E697ED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0A5F3E09" w14:textId="02DB9812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3D6591E0" w14:textId="7C9A2613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40B3A6BB" w14:textId="47102947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520C5E5C" w14:textId="3F8CD9E5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1990044E" w14:textId="4501DD35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73900EEC" w14:textId="78995750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2DB78157" w14:textId="73E9A205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64F99B97" w14:textId="56D2E0C5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7305DB80" w14:textId="42C2B9F5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4364BA9B" w14:textId="0A57948B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5CEA4FDE" w14:textId="2406DA68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35F58AB1" w14:textId="27D68A02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6C79432B" w14:textId="0312BDAA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0102CBBF" w14:textId="77777777" w:rsidR="00F830CE" w:rsidRDefault="00F830CE" w:rsidP="00C1090E">
      <w:pPr>
        <w:pStyle w:val="SMcaption"/>
        <w:rPr>
          <w:rFonts w:ascii="Myriad Pro" w:hAnsi="Myriad Pro"/>
          <w:bCs/>
          <w:iCs/>
          <w:sz w:val="22"/>
          <w:szCs w:val="22"/>
        </w:rPr>
      </w:pPr>
    </w:p>
    <w:p w14:paraId="35731476" w14:textId="77777777" w:rsidR="00C1090E" w:rsidRDefault="00C1090E" w:rsidP="00C1090E">
      <w:pPr>
        <w:pStyle w:val="SMcaption"/>
        <w:rPr>
          <w:rFonts w:ascii="Myriad Pro" w:hAnsi="Myriad Pro"/>
          <w:sz w:val="22"/>
          <w:szCs w:val="22"/>
        </w:rPr>
      </w:pPr>
    </w:p>
    <w:p w14:paraId="1AE4B8C7" w14:textId="6EDFDFD3" w:rsidR="00C1090E" w:rsidRPr="00F86A15" w:rsidRDefault="00C1090E" w:rsidP="00C1090E">
      <w:pPr>
        <w:pStyle w:val="SMcaption"/>
        <w:jc w:val="both"/>
        <w:rPr>
          <w:bCs/>
          <w:iCs/>
          <w:sz w:val="22"/>
          <w:szCs w:val="22"/>
        </w:rPr>
      </w:pPr>
      <w:r w:rsidRPr="00F86A15">
        <w:rPr>
          <w:b/>
          <w:bCs/>
          <w:sz w:val="22"/>
          <w:szCs w:val="22"/>
        </w:rPr>
        <w:t>Figure S3</w:t>
      </w:r>
      <w:r w:rsidRPr="00BB5DA6">
        <w:rPr>
          <w:sz w:val="22"/>
          <w:szCs w:val="22"/>
        </w:rPr>
        <w:t xml:space="preserve"> </w:t>
      </w:r>
      <w:r w:rsidRPr="00F86A15">
        <w:rPr>
          <w:b/>
          <w:bCs/>
          <w:sz w:val="22"/>
          <w:szCs w:val="22"/>
        </w:rPr>
        <w:t>A-C</w:t>
      </w:r>
      <w:r>
        <w:rPr>
          <w:b/>
          <w:bCs/>
          <w:sz w:val="22"/>
          <w:szCs w:val="22"/>
        </w:rPr>
        <w:t>:</w:t>
      </w:r>
      <w:r w:rsidRPr="00BB5DA6">
        <w:rPr>
          <w:sz w:val="22"/>
          <w:szCs w:val="22"/>
        </w:rPr>
        <w:t xml:space="preserve"> </w:t>
      </w:r>
      <w:r w:rsidRPr="00F86A15">
        <w:rPr>
          <w:bCs/>
          <w:sz w:val="22"/>
          <w:szCs w:val="22"/>
        </w:rPr>
        <w:t xml:space="preserve">Maximum cross-correlation coefficient as a function of peak stress for 15 stick-slip cycles at 12 MPa. In panels A-C, we systematically change the template length from 25-100 </w:t>
      </w:r>
      <w:r w:rsidRPr="00F86A15">
        <w:rPr>
          <w:bCs/>
          <w:sz w:val="22"/>
          <w:szCs w:val="22"/>
        </w:rPr>
        <w:sym w:font="Symbol" w:char="F06D"/>
      </w:r>
      <w:r w:rsidRPr="00F86A15">
        <w:rPr>
          <w:bCs/>
          <w:sz w:val="22"/>
          <w:szCs w:val="22"/>
        </w:rPr>
        <w:t>s and demonstrate that the results presented in Figure 3 of the main text are unaffected by the template size. Irrespective of the template size, we observe a systematic increase in waveform similarity as the fault approaches failure. In each panel, raw measurements are plotted with black circles, and we use a moving window to estimate the median (orange line)</w:t>
      </w:r>
      <w:r w:rsidR="005F68E3">
        <w:rPr>
          <w:bCs/>
          <w:sz w:val="22"/>
          <w:szCs w:val="22"/>
        </w:rPr>
        <w:t xml:space="preserve">, </w:t>
      </w:r>
      <w:r w:rsidRPr="00F86A15">
        <w:rPr>
          <w:bCs/>
          <w:sz w:val="22"/>
          <w:szCs w:val="22"/>
        </w:rPr>
        <w:t>75</w:t>
      </w:r>
      <w:r w:rsidRPr="00F86A15">
        <w:rPr>
          <w:bCs/>
          <w:sz w:val="22"/>
          <w:szCs w:val="22"/>
          <w:vertAlign w:val="superscript"/>
        </w:rPr>
        <w:t>th</w:t>
      </w:r>
      <w:r w:rsidRPr="00F86A15">
        <w:rPr>
          <w:bCs/>
          <w:sz w:val="22"/>
          <w:szCs w:val="22"/>
        </w:rPr>
        <w:t xml:space="preserve"> percentile (green line)</w:t>
      </w:r>
      <w:r w:rsidR="005F68E3">
        <w:rPr>
          <w:bCs/>
          <w:sz w:val="22"/>
          <w:szCs w:val="22"/>
        </w:rPr>
        <w:t>, and</w:t>
      </w:r>
      <w:r w:rsidRPr="00F86A15">
        <w:rPr>
          <w:bCs/>
          <w:sz w:val="22"/>
          <w:szCs w:val="22"/>
        </w:rPr>
        <w:t xml:space="preserve"> percentage of event pairs that have high waveform similarity</w:t>
      </w:r>
      <w:r w:rsidR="005F68E3">
        <w:rPr>
          <w:bCs/>
          <w:sz w:val="22"/>
          <w:szCs w:val="22"/>
        </w:rPr>
        <w:t xml:space="preserve"> (black line)</w:t>
      </w:r>
      <w:r w:rsidRPr="00F86A15">
        <w:rPr>
          <w:bCs/>
          <w:sz w:val="22"/>
          <w:szCs w:val="22"/>
        </w:rPr>
        <w:t xml:space="preserve">. Recall, that high waveform similarity is determined from the cross-correlation distributions in Figure S2. </w:t>
      </w:r>
      <w:r>
        <w:rPr>
          <w:bCs/>
          <w:sz w:val="22"/>
          <w:szCs w:val="22"/>
        </w:rPr>
        <w:t xml:space="preserve">Figures in </w:t>
      </w:r>
      <w:r w:rsidR="005F68E3">
        <w:rPr>
          <w:bCs/>
          <w:sz w:val="22"/>
          <w:szCs w:val="22"/>
        </w:rPr>
        <w:t>the</w:t>
      </w:r>
      <w:r>
        <w:rPr>
          <w:bCs/>
          <w:sz w:val="22"/>
          <w:szCs w:val="22"/>
        </w:rPr>
        <w:t xml:space="preserve"> main text are derived from 50 </w:t>
      </w:r>
      <w:r w:rsidRPr="00F86A15">
        <w:rPr>
          <w:bCs/>
          <w:sz w:val="22"/>
          <w:szCs w:val="22"/>
        </w:rPr>
        <w:sym w:font="Symbol" w:char="F06D"/>
      </w:r>
      <w:r w:rsidRPr="00F86A15">
        <w:rPr>
          <w:bCs/>
          <w:sz w:val="22"/>
          <w:szCs w:val="22"/>
        </w:rPr>
        <w:t>s</w:t>
      </w:r>
      <w:r>
        <w:rPr>
          <w:bCs/>
          <w:sz w:val="22"/>
          <w:szCs w:val="22"/>
        </w:rPr>
        <w:t xml:space="preserve"> templates. </w:t>
      </w:r>
    </w:p>
    <w:p w14:paraId="53916FD3" w14:textId="77777777" w:rsidR="00C1090E" w:rsidRDefault="00C1090E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0D7BE113" w14:textId="77777777" w:rsidR="00C1090E" w:rsidRDefault="00C1090E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64764D33" w14:textId="77777777" w:rsidR="00C1090E" w:rsidRDefault="00C1090E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297C7951" w14:textId="7FCC67E3" w:rsidR="00C1090E" w:rsidRDefault="00480AF1" w:rsidP="00C1090E">
      <w:pPr>
        <w:pStyle w:val="SMcaption"/>
        <w:jc w:val="both"/>
        <w:rPr>
          <w:bCs/>
          <w:iCs/>
          <w:sz w:val="22"/>
          <w:szCs w:val="22"/>
        </w:rPr>
      </w:pPr>
      <w:r>
        <w:rPr>
          <w:bCs/>
          <w:iCs/>
          <w:noProof/>
          <w:sz w:val="22"/>
          <w:szCs w:val="22"/>
        </w:rPr>
        <w:lastRenderedPageBreak/>
        <w:drawing>
          <wp:anchor distT="0" distB="0" distL="114300" distR="114300" simplePos="0" relativeHeight="251664384" behindDoc="0" locked="0" layoutInCell="1" allowOverlap="1" wp14:anchorId="13BFB46B" wp14:editId="045CD2E3">
            <wp:simplePos x="0" y="0"/>
            <wp:positionH relativeFrom="column">
              <wp:posOffset>1308793</wp:posOffset>
            </wp:positionH>
            <wp:positionV relativeFrom="paragraph">
              <wp:posOffset>0</wp:posOffset>
            </wp:positionV>
            <wp:extent cx="3324225" cy="6711950"/>
            <wp:effectExtent l="0" t="0" r="3175" b="0"/>
            <wp:wrapSquare wrapText="bothSides"/>
            <wp:docPr id="5" name="Picture 5" descr="Graphical user interface,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char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4225" cy="6711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46DF76" w14:textId="11265CF8" w:rsidR="00C1090E" w:rsidRDefault="00C1090E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64F76CD5" w14:textId="77777777" w:rsidR="00C1090E" w:rsidRDefault="00C1090E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031725B6" w14:textId="7039360A" w:rsidR="00C1090E" w:rsidRDefault="00C1090E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2A0E7409" w14:textId="0A7167BE" w:rsidR="00C1090E" w:rsidRDefault="00C1090E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07864A9A" w14:textId="77777777" w:rsidR="00C1090E" w:rsidRDefault="00C1090E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45E8AB72" w14:textId="77777777" w:rsidR="00C1090E" w:rsidRDefault="00C1090E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0A06026B" w14:textId="77777777" w:rsidR="00C1090E" w:rsidRDefault="00C1090E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239779B8" w14:textId="77777777" w:rsidR="00C1090E" w:rsidRDefault="00C1090E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05256030" w14:textId="09F96E72" w:rsidR="00C1090E" w:rsidRDefault="00C1090E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410EB7FF" w14:textId="78E15CC2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78B07C94" w14:textId="25A82E95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400FC480" w14:textId="37F22915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601EE883" w14:textId="1CCADA49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2D24DD31" w14:textId="7A465CE4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78668A97" w14:textId="10DFB520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7134403F" w14:textId="7C91B6DB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7D20E711" w14:textId="724D6C96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1F4BA89C" w14:textId="349034BA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1B43850F" w14:textId="085460DA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28143ADA" w14:textId="2B2284C1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664BA57F" w14:textId="7F18DA9D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7787C54C" w14:textId="2EA8F603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22F29F3E" w14:textId="50D3D24F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6937F0CC" w14:textId="221DA29F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65F45F70" w14:textId="6AFE35EF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35680165" w14:textId="720A44FF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0F05EB84" w14:textId="7128EA9C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49BD63B3" w14:textId="01A69BC7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6FB2DB49" w14:textId="3B936FFD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223C14A7" w14:textId="75F1190A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3D5A94B0" w14:textId="5706E7BF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3EF572FD" w14:textId="77777777" w:rsidR="00480AF1" w:rsidRDefault="00480AF1" w:rsidP="00C1090E">
      <w:pPr>
        <w:pStyle w:val="SMcaption"/>
        <w:jc w:val="both"/>
        <w:rPr>
          <w:bCs/>
          <w:iCs/>
          <w:sz w:val="22"/>
          <w:szCs w:val="22"/>
        </w:rPr>
      </w:pPr>
    </w:p>
    <w:p w14:paraId="33B75445" w14:textId="1721E8F0" w:rsidR="00C1090E" w:rsidRDefault="00C1090E" w:rsidP="00C1090E">
      <w:pPr>
        <w:pStyle w:val="SMcaption"/>
        <w:jc w:val="both"/>
        <w:rPr>
          <w:b/>
          <w:bCs/>
          <w:sz w:val="22"/>
          <w:szCs w:val="22"/>
        </w:rPr>
      </w:pPr>
    </w:p>
    <w:p w14:paraId="1B289F54" w14:textId="702B9B3C" w:rsidR="00C1090E" w:rsidRDefault="00C1090E" w:rsidP="00C1090E">
      <w:pPr>
        <w:pStyle w:val="SMcaption"/>
        <w:jc w:val="both"/>
        <w:rPr>
          <w:b/>
          <w:bCs/>
          <w:sz w:val="22"/>
          <w:szCs w:val="22"/>
        </w:rPr>
      </w:pPr>
    </w:p>
    <w:p w14:paraId="00751F34" w14:textId="6966F773" w:rsidR="00C1090E" w:rsidRDefault="00C1090E" w:rsidP="00C1090E">
      <w:pPr>
        <w:pStyle w:val="SMcaption"/>
        <w:jc w:val="both"/>
        <w:rPr>
          <w:b/>
          <w:bCs/>
          <w:sz w:val="22"/>
          <w:szCs w:val="22"/>
        </w:rPr>
      </w:pPr>
    </w:p>
    <w:p w14:paraId="283ABE85" w14:textId="32B5FAD5" w:rsidR="00C1090E" w:rsidRDefault="00C1090E" w:rsidP="00C1090E">
      <w:pPr>
        <w:pStyle w:val="SMcaption"/>
        <w:jc w:val="both"/>
        <w:rPr>
          <w:b/>
          <w:bCs/>
          <w:sz w:val="22"/>
          <w:szCs w:val="22"/>
        </w:rPr>
      </w:pPr>
    </w:p>
    <w:p w14:paraId="70ABC9BC" w14:textId="1890A310" w:rsidR="00C1090E" w:rsidRDefault="00C1090E" w:rsidP="00C1090E">
      <w:pPr>
        <w:pStyle w:val="SMcaption"/>
        <w:jc w:val="both"/>
        <w:rPr>
          <w:b/>
          <w:bCs/>
          <w:sz w:val="22"/>
          <w:szCs w:val="22"/>
        </w:rPr>
      </w:pPr>
    </w:p>
    <w:p w14:paraId="09671957" w14:textId="77777777" w:rsidR="00C1090E" w:rsidRDefault="00C1090E" w:rsidP="00C1090E">
      <w:pPr>
        <w:pStyle w:val="SMcaption"/>
        <w:jc w:val="both"/>
        <w:rPr>
          <w:b/>
          <w:bCs/>
          <w:sz w:val="22"/>
          <w:szCs w:val="22"/>
        </w:rPr>
      </w:pPr>
    </w:p>
    <w:p w14:paraId="5343C6FE" w14:textId="77777777" w:rsidR="00C1090E" w:rsidRDefault="00C1090E" w:rsidP="00C1090E">
      <w:pPr>
        <w:pStyle w:val="SMcaption"/>
        <w:jc w:val="both"/>
        <w:rPr>
          <w:b/>
          <w:bCs/>
          <w:sz w:val="22"/>
          <w:szCs w:val="22"/>
        </w:rPr>
      </w:pPr>
    </w:p>
    <w:p w14:paraId="6A35D470" w14:textId="77777777" w:rsidR="00C1090E" w:rsidRDefault="00C1090E" w:rsidP="00C1090E">
      <w:pPr>
        <w:pStyle w:val="SMcaption"/>
        <w:jc w:val="both"/>
        <w:rPr>
          <w:b/>
          <w:bCs/>
          <w:sz w:val="22"/>
          <w:szCs w:val="22"/>
        </w:rPr>
      </w:pPr>
    </w:p>
    <w:p w14:paraId="2E23C88C" w14:textId="77777777" w:rsidR="00C1090E" w:rsidRDefault="00C1090E" w:rsidP="00C1090E">
      <w:pPr>
        <w:pStyle w:val="SMcaption"/>
        <w:jc w:val="both"/>
        <w:rPr>
          <w:b/>
          <w:bCs/>
          <w:sz w:val="22"/>
          <w:szCs w:val="22"/>
        </w:rPr>
      </w:pPr>
    </w:p>
    <w:p w14:paraId="1F49B75B" w14:textId="78130AB4" w:rsidR="00C1090E" w:rsidRPr="00480AF1" w:rsidRDefault="00C1090E" w:rsidP="00480AF1">
      <w:pPr>
        <w:pStyle w:val="SMcaption"/>
        <w:jc w:val="both"/>
        <w:rPr>
          <w:bCs/>
          <w:iCs/>
          <w:sz w:val="22"/>
          <w:szCs w:val="22"/>
        </w:rPr>
      </w:pPr>
      <w:r w:rsidRPr="00F86A15">
        <w:rPr>
          <w:b/>
          <w:bCs/>
          <w:sz w:val="22"/>
          <w:szCs w:val="22"/>
        </w:rPr>
        <w:t>Figure S</w:t>
      </w:r>
      <w:r>
        <w:rPr>
          <w:b/>
          <w:bCs/>
          <w:sz w:val="22"/>
          <w:szCs w:val="22"/>
        </w:rPr>
        <w:t>4</w:t>
      </w:r>
      <w:r w:rsidRPr="00BB5DA6">
        <w:rPr>
          <w:sz w:val="22"/>
          <w:szCs w:val="22"/>
        </w:rPr>
        <w:t xml:space="preserve"> </w:t>
      </w:r>
      <w:r w:rsidRPr="00F86A15">
        <w:rPr>
          <w:b/>
          <w:bCs/>
          <w:sz w:val="22"/>
          <w:szCs w:val="22"/>
        </w:rPr>
        <w:t>A-</w:t>
      </w:r>
      <w:r>
        <w:rPr>
          <w:b/>
          <w:bCs/>
          <w:sz w:val="22"/>
          <w:szCs w:val="22"/>
        </w:rPr>
        <w:t>B:</w:t>
      </w:r>
      <w:r w:rsidRPr="00BB5DA6"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Fault slip velocity and shear stress as a function of time for slow stick-slip events (A; 8 MPa) and fast stick-slip events (B;14 MPa). For slow slip events, the fault reaches a minimum slip rate of ~ 5 </w:t>
      </w:r>
      <w:r>
        <w:rPr>
          <w:bCs/>
          <w:sz w:val="22"/>
          <w:szCs w:val="22"/>
        </w:rPr>
        <w:sym w:font="Symbol" w:char="F06D"/>
      </w:r>
      <w:r>
        <w:rPr>
          <w:bCs/>
          <w:sz w:val="22"/>
          <w:szCs w:val="22"/>
        </w:rPr>
        <w:t xml:space="preserve">m/s prior to accelerating during the latter stages of the seismic cycle. In contrast, during the fast stick-slip events (B) the fault locks up and reaches a minimum slip rate of ~ 0 </w:t>
      </w:r>
      <w:r>
        <w:rPr>
          <w:bCs/>
          <w:sz w:val="22"/>
          <w:szCs w:val="22"/>
        </w:rPr>
        <w:sym w:font="Symbol" w:char="F06D"/>
      </w:r>
      <w:r>
        <w:rPr>
          <w:bCs/>
          <w:sz w:val="22"/>
          <w:szCs w:val="22"/>
        </w:rPr>
        <w:t>m/s. C. Normalized shear stress as a function of slip velocity for 5 seismic cycles; data points are color coded according to their respective normal stress. Note, the fault completely locks up during the inter-seismic period for the fast stick-slip events at 1</w:t>
      </w:r>
      <w:r w:rsidR="00AD26F0">
        <w:rPr>
          <w:bCs/>
          <w:sz w:val="22"/>
          <w:szCs w:val="22"/>
        </w:rPr>
        <w:t>2</w:t>
      </w:r>
      <w:r>
        <w:rPr>
          <w:bCs/>
          <w:sz w:val="22"/>
          <w:szCs w:val="22"/>
        </w:rPr>
        <w:t xml:space="preserve">-14 MPa. At 8 MPa the fault never locks up and continues to slip throughout the entire inter-seismic period. </w:t>
      </w:r>
    </w:p>
    <w:sectPr w:rsidR="00C1090E" w:rsidRPr="00480A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 Pro">
    <w:altName w:val="Calibri"/>
    <w:panose1 w:val="020B0604020202020204"/>
    <w:charset w:val="00"/>
    <w:family w:val="swiss"/>
    <w:notTrueType/>
    <w:pitch w:val="variable"/>
    <w:sig w:usb0="20000287" w:usb1="00000001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90E"/>
    <w:rsid w:val="00004397"/>
    <w:rsid w:val="00030F1B"/>
    <w:rsid w:val="00172532"/>
    <w:rsid w:val="00246F4B"/>
    <w:rsid w:val="00300947"/>
    <w:rsid w:val="00386E43"/>
    <w:rsid w:val="003C144D"/>
    <w:rsid w:val="00480AF1"/>
    <w:rsid w:val="005E055C"/>
    <w:rsid w:val="005F68E3"/>
    <w:rsid w:val="006C3B95"/>
    <w:rsid w:val="006E203C"/>
    <w:rsid w:val="00865B5E"/>
    <w:rsid w:val="008A1EC0"/>
    <w:rsid w:val="009D12A5"/>
    <w:rsid w:val="00A5339E"/>
    <w:rsid w:val="00A63E7B"/>
    <w:rsid w:val="00A71D70"/>
    <w:rsid w:val="00AD26F0"/>
    <w:rsid w:val="00B04718"/>
    <w:rsid w:val="00C1090E"/>
    <w:rsid w:val="00CE0DBE"/>
    <w:rsid w:val="00DF7E82"/>
    <w:rsid w:val="00F37FD5"/>
    <w:rsid w:val="00F830CE"/>
    <w:rsid w:val="00FB1EAD"/>
    <w:rsid w:val="00FC7C67"/>
    <w:rsid w:val="00FE6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F21965"/>
  <w15:chartTrackingRefBased/>
  <w15:docId w15:val="{9A83DE80-B49B-2840-8488-F02FE1C2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09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MHeading">
    <w:name w:val="SM Heading"/>
    <w:basedOn w:val="Heading1"/>
    <w:qFormat/>
    <w:rsid w:val="00C1090E"/>
    <w:pPr>
      <w:keepLines w:val="0"/>
      <w:spacing w:after="60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</w:rPr>
  </w:style>
  <w:style w:type="paragraph" w:customStyle="1" w:styleId="SMText">
    <w:name w:val="SM Text"/>
    <w:basedOn w:val="Normal"/>
    <w:qFormat/>
    <w:rsid w:val="00C1090E"/>
    <w:pPr>
      <w:ind w:firstLine="480"/>
    </w:pPr>
    <w:rPr>
      <w:rFonts w:ascii="Times New Roman" w:eastAsia="Times New Roman" w:hAnsi="Times New Roman" w:cs="Times New Roman"/>
      <w:szCs w:val="20"/>
    </w:rPr>
  </w:style>
  <w:style w:type="paragraph" w:customStyle="1" w:styleId="SMcaption">
    <w:name w:val="SM caption"/>
    <w:basedOn w:val="SMText"/>
    <w:qFormat/>
    <w:rsid w:val="00C1090E"/>
    <w:pPr>
      <w:ind w:firstLine="0"/>
    </w:pPr>
  </w:style>
  <w:style w:type="paragraph" w:styleId="Title">
    <w:name w:val="Title"/>
    <w:basedOn w:val="Normal"/>
    <w:next w:val="Normal"/>
    <w:link w:val="TitleChar"/>
    <w:uiPriority w:val="10"/>
    <w:qFormat/>
    <w:rsid w:val="00C1090E"/>
    <w:pPr>
      <w:spacing w:before="240" w:after="60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C1090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rsid w:val="00C1090E"/>
    <w:rPr>
      <w:color w:val="0000FF"/>
      <w:u w:val="single"/>
    </w:rPr>
  </w:style>
  <w:style w:type="paragraph" w:customStyle="1" w:styleId="Affiliation">
    <w:name w:val="Affiliation"/>
    <w:basedOn w:val="Normal"/>
    <w:qFormat/>
    <w:rsid w:val="00C1090E"/>
    <w:pPr>
      <w:spacing w:before="120"/>
    </w:pPr>
    <w:rPr>
      <w:rFonts w:ascii="Times New Roman" w:eastAsia="Times New Roman" w:hAnsi="Times New Roman" w:cs="Times New Roman"/>
    </w:rPr>
  </w:style>
  <w:style w:type="paragraph" w:customStyle="1" w:styleId="Heading-Main">
    <w:name w:val="Heading-Main"/>
    <w:basedOn w:val="Normal"/>
    <w:rsid w:val="00C1090E"/>
    <w:pPr>
      <w:keepNext/>
      <w:spacing w:before="240" w:after="120"/>
      <w:outlineLvl w:val="0"/>
    </w:pPr>
    <w:rPr>
      <w:rFonts w:ascii="Times New Roman" w:eastAsia="Times New Roman" w:hAnsi="Times New Roman" w:cs="Times New Roman"/>
      <w:b/>
      <w:bCs/>
      <w:kern w:val="28"/>
    </w:rPr>
  </w:style>
  <w:style w:type="character" w:customStyle="1" w:styleId="Heading1Char">
    <w:name w:val="Heading 1 Char"/>
    <w:basedOn w:val="DefaultParagraphFont"/>
    <w:link w:val="Heading1"/>
    <w:uiPriority w:val="9"/>
    <w:rsid w:val="00C1090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555</Words>
  <Characters>3170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Bolton, David C</dc:creator>
  <cp:keywords/>
  <dc:description/>
  <cp:lastModifiedBy>Chas Bolton</cp:lastModifiedBy>
  <cp:revision>5</cp:revision>
  <dcterms:created xsi:type="dcterms:W3CDTF">2022-06-22T21:11:00Z</dcterms:created>
  <dcterms:modified xsi:type="dcterms:W3CDTF">2022-07-27T02:59:00Z</dcterms:modified>
</cp:coreProperties>
</file>