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0A110" w14:textId="77777777" w:rsidR="00B16F89" w:rsidRPr="00253E79" w:rsidRDefault="00B16F89" w:rsidP="00B16F89">
      <w:pPr>
        <w:spacing w:line="360" w:lineRule="auto"/>
        <w:jc w:val="both"/>
        <w:rPr>
          <w:rStyle w:val="Enfasigrassetto"/>
          <w:rFonts w:ascii="Times New Roman" w:hAnsi="Times New Roman" w:cs="Times New Roman"/>
          <w:sz w:val="24"/>
          <w:szCs w:val="24"/>
          <w:bdr w:val="none" w:sz="0" w:space="0" w:color="auto" w:frame="1"/>
          <w:lang w:val="en-US"/>
        </w:rPr>
      </w:pPr>
      <w:r w:rsidRPr="00253E79">
        <w:rPr>
          <w:rStyle w:val="Enfasigrassetto"/>
          <w:rFonts w:ascii="Times New Roman" w:hAnsi="Times New Roman" w:cs="Times New Roman"/>
          <w:sz w:val="24"/>
          <w:szCs w:val="24"/>
          <w:bdr w:val="none" w:sz="0" w:space="0" w:color="auto" w:frame="1"/>
          <w:lang w:val="en-US"/>
        </w:rPr>
        <w:t xml:space="preserve">PERIPHERALLY INSERTED CENTRAL VENOUS CATHETER FOR </w:t>
      </w:r>
      <w:r>
        <w:rPr>
          <w:rStyle w:val="Enfasigrassetto"/>
          <w:rFonts w:ascii="Times New Roman" w:hAnsi="Times New Roman" w:cs="Times New Roman"/>
          <w:sz w:val="24"/>
          <w:szCs w:val="24"/>
          <w:bdr w:val="none" w:sz="0" w:space="0" w:color="auto" w:frame="1"/>
          <w:lang w:val="en-US"/>
        </w:rPr>
        <w:t xml:space="preserve">PEDIATRIC </w:t>
      </w:r>
      <w:r w:rsidRPr="00253E79">
        <w:rPr>
          <w:rStyle w:val="Enfasigrassetto"/>
          <w:rFonts w:ascii="Times New Roman" w:hAnsi="Times New Roman" w:cs="Times New Roman"/>
          <w:sz w:val="24"/>
          <w:szCs w:val="24"/>
          <w:bdr w:val="none" w:sz="0" w:space="0" w:color="auto" w:frame="1"/>
          <w:lang w:val="en-US"/>
        </w:rPr>
        <w:t>HEMATOLOGIC DISEASES; A RETROSPECTIVE 11-YEAR SINGLE-CENTER</w:t>
      </w:r>
      <w:r>
        <w:rPr>
          <w:rStyle w:val="Enfasigrassetto"/>
          <w:rFonts w:ascii="Times New Roman" w:hAnsi="Times New Roman" w:cs="Times New Roman"/>
          <w:sz w:val="24"/>
          <w:szCs w:val="24"/>
          <w:bdr w:val="none" w:sz="0" w:space="0" w:color="auto" w:frame="1"/>
          <w:lang w:val="en-US"/>
        </w:rPr>
        <w:t xml:space="preserve"> </w:t>
      </w:r>
      <w:r w:rsidRPr="00253E79">
        <w:rPr>
          <w:rStyle w:val="Enfasigrassetto"/>
          <w:rFonts w:ascii="Times New Roman" w:hAnsi="Times New Roman" w:cs="Times New Roman"/>
          <w:sz w:val="24"/>
          <w:szCs w:val="24"/>
          <w:bdr w:val="none" w:sz="0" w:space="0" w:color="auto" w:frame="1"/>
          <w:lang w:val="en-US"/>
        </w:rPr>
        <w:t>EXPERIENCE.</w:t>
      </w:r>
    </w:p>
    <w:p w14:paraId="323D83A3" w14:textId="2CF5D6A5" w:rsidR="00B16F89" w:rsidRDefault="00B16F89" w:rsidP="00B16F89">
      <w:pPr>
        <w:spacing w:line="360" w:lineRule="auto"/>
        <w:jc w:val="both"/>
        <w:rPr>
          <w:rStyle w:val="Enfasigrassetto"/>
          <w:rFonts w:ascii="Times New Roman" w:hAnsi="Times New Roman" w:cs="Times New Roman"/>
          <w:color w:val="4F4F4F"/>
          <w:sz w:val="24"/>
          <w:szCs w:val="24"/>
          <w:bdr w:val="none" w:sz="0" w:space="0" w:color="auto" w:frame="1"/>
        </w:rPr>
      </w:pPr>
      <w:r w:rsidRPr="001B574B">
        <w:rPr>
          <w:rStyle w:val="Enfasigrassetto"/>
          <w:rFonts w:ascii="Times New Roman" w:hAnsi="Times New Roman" w:cs="Times New Roman"/>
          <w:sz w:val="24"/>
          <w:szCs w:val="24"/>
          <w:bdr w:val="none" w:sz="0" w:space="0" w:color="auto" w:frame="1"/>
        </w:rPr>
        <w:t>Silvio Ligia</w:t>
      </w:r>
      <w:r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 xml:space="preserve">, </w:t>
      </w:r>
      <w:r w:rsidR="00AA7230">
        <w:rPr>
          <w:rStyle w:val="Enfasigrassetto"/>
          <w:rFonts w:ascii="Times New Roman" w:hAnsi="Times New Roman" w:cs="Times New Roman"/>
          <w:sz w:val="24"/>
          <w:szCs w:val="24"/>
          <w:bdr w:val="none" w:sz="0" w:space="0" w:color="auto" w:frame="1"/>
        </w:rPr>
        <w:t xml:space="preserve">Salvatore </w:t>
      </w:r>
      <w:bookmarkStart w:id="0" w:name="_GoBack"/>
      <w:bookmarkEnd w:id="0"/>
      <w:r w:rsidR="006953E4" w:rsidRPr="001B574B">
        <w:rPr>
          <w:rStyle w:val="Enfasigrassetto"/>
          <w:rFonts w:ascii="Times New Roman" w:hAnsi="Times New Roman" w:cs="Times New Roman"/>
          <w:sz w:val="24"/>
          <w:szCs w:val="24"/>
          <w:bdr w:val="none" w:sz="0" w:space="0" w:color="auto" w:frame="1"/>
        </w:rPr>
        <w:t>Giacomo Morano</w:t>
      </w:r>
      <w:r w:rsidR="006953E4" w:rsidRPr="001B574B">
        <w:rPr>
          <w:rStyle w:val="Enfasigrassetto"/>
          <w:rFonts w:ascii="Times New Roman" w:hAnsi="Times New Roman" w:cs="Times New Roman"/>
          <w:sz w:val="24"/>
          <w:szCs w:val="24"/>
          <w:bdr w:val="none" w:sz="0" w:space="0" w:color="auto" w:frame="1"/>
          <w:vertAlign w:val="superscript"/>
        </w:rPr>
        <w:t>1</w:t>
      </w:r>
      <w:r w:rsidR="006953E4">
        <w:rPr>
          <w:rStyle w:val="Enfasigrassetto"/>
          <w:rFonts w:ascii="Times New Roman" w:hAnsi="Times New Roman" w:cs="Times New Roman"/>
          <w:sz w:val="24"/>
          <w:szCs w:val="24"/>
          <w:bdr w:val="none" w:sz="0" w:space="0" w:color="auto" w:frame="1"/>
        </w:rPr>
        <w:t xml:space="preserve">, </w:t>
      </w:r>
      <w:r w:rsidRPr="001B574B">
        <w:rPr>
          <w:rStyle w:val="Enfasigrassetto"/>
          <w:rFonts w:ascii="Times New Roman" w:hAnsi="Times New Roman" w:cs="Times New Roman"/>
          <w:sz w:val="24"/>
          <w:szCs w:val="24"/>
          <w:bdr w:val="none" w:sz="0" w:space="0" w:color="auto" w:frame="1"/>
        </w:rPr>
        <w:t>Francesca Kaiser</w:t>
      </w:r>
      <w:r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 Alessandra Micozzi</w:t>
      </w:r>
      <w:r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 Maria Luisa Moleti</w:t>
      </w:r>
      <w:r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 xml:space="preserve">, </w:t>
      </w:r>
      <w:r>
        <w:rPr>
          <w:rStyle w:val="Enfasigrassetto"/>
          <w:rFonts w:ascii="Times New Roman" w:hAnsi="Times New Roman" w:cs="Times New Roman"/>
          <w:sz w:val="24"/>
          <w:szCs w:val="24"/>
          <w:bdr w:val="none" w:sz="0" w:space="0" w:color="auto" w:frame="1"/>
        </w:rPr>
        <w:t>Walter Barberi</w:t>
      </w:r>
      <w:r w:rsidRPr="00373A7E">
        <w:rPr>
          <w:rStyle w:val="Enfasigrassetto"/>
          <w:rFonts w:ascii="Times New Roman" w:hAnsi="Times New Roman" w:cs="Times New Roman"/>
          <w:sz w:val="24"/>
          <w:szCs w:val="24"/>
          <w:bdr w:val="none" w:sz="0" w:space="0" w:color="auto" w:frame="1"/>
          <w:vertAlign w:val="superscript"/>
        </w:rPr>
        <w:t>1</w:t>
      </w:r>
      <w:r>
        <w:rPr>
          <w:rStyle w:val="Enfasigrassetto"/>
          <w:rFonts w:ascii="Times New Roman" w:hAnsi="Times New Roman" w:cs="Times New Roman"/>
          <w:sz w:val="24"/>
          <w:szCs w:val="24"/>
          <w:bdr w:val="none" w:sz="0" w:space="0" w:color="auto" w:frame="1"/>
        </w:rPr>
        <w:t xml:space="preserve">, </w:t>
      </w:r>
      <w:r w:rsidRPr="001B574B">
        <w:rPr>
          <w:rStyle w:val="Enfasigrassetto"/>
          <w:rFonts w:ascii="Times New Roman" w:hAnsi="Times New Roman" w:cs="Times New Roman"/>
          <w:sz w:val="24"/>
          <w:szCs w:val="24"/>
          <w:bdr w:val="none" w:sz="0" w:space="0" w:color="auto" w:frame="1"/>
        </w:rPr>
        <w:t>Fiorina Giona</w:t>
      </w:r>
      <w:r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 xml:space="preserve">, </w:t>
      </w:r>
      <w:r>
        <w:rPr>
          <w:rStyle w:val="Enfasigrassetto"/>
          <w:rFonts w:ascii="Times New Roman" w:hAnsi="Times New Roman" w:cs="Times New Roman"/>
          <w:sz w:val="24"/>
          <w:szCs w:val="24"/>
          <w:bdr w:val="none" w:sz="0" w:space="0" w:color="auto" w:frame="1"/>
        </w:rPr>
        <w:t>Antonio Chistolini</w:t>
      </w:r>
      <w:r w:rsidRPr="00267D3A">
        <w:rPr>
          <w:rStyle w:val="Enfasigrassetto"/>
          <w:rFonts w:ascii="Times New Roman" w:hAnsi="Times New Roman" w:cs="Times New Roman"/>
          <w:sz w:val="24"/>
          <w:szCs w:val="24"/>
          <w:bdr w:val="none" w:sz="0" w:space="0" w:color="auto" w:frame="1"/>
          <w:vertAlign w:val="superscript"/>
        </w:rPr>
        <w:t>1</w:t>
      </w:r>
      <w:r>
        <w:rPr>
          <w:rStyle w:val="Enfasigrassetto"/>
          <w:rFonts w:ascii="Times New Roman" w:hAnsi="Times New Roman" w:cs="Times New Roman"/>
          <w:sz w:val="24"/>
          <w:szCs w:val="24"/>
          <w:bdr w:val="none" w:sz="0" w:space="0" w:color="auto" w:frame="1"/>
        </w:rPr>
        <w:t>, Valentina Arena</w:t>
      </w:r>
      <w:r w:rsidRPr="00267D3A">
        <w:rPr>
          <w:rStyle w:val="Enfasigrassetto"/>
          <w:rFonts w:ascii="Times New Roman" w:hAnsi="Times New Roman" w:cs="Times New Roman"/>
          <w:sz w:val="24"/>
          <w:szCs w:val="24"/>
          <w:bdr w:val="none" w:sz="0" w:space="0" w:color="auto" w:frame="1"/>
          <w:vertAlign w:val="superscript"/>
        </w:rPr>
        <w:t>2</w:t>
      </w:r>
      <w:r>
        <w:rPr>
          <w:rStyle w:val="Enfasigrassetto"/>
          <w:rFonts w:ascii="Times New Roman" w:hAnsi="Times New Roman" w:cs="Times New Roman"/>
          <w:sz w:val="24"/>
          <w:szCs w:val="24"/>
          <w:bdr w:val="none" w:sz="0" w:space="0" w:color="auto" w:frame="1"/>
        </w:rPr>
        <w:t xml:space="preserve">, </w:t>
      </w:r>
      <w:r w:rsidRPr="001B574B">
        <w:rPr>
          <w:rStyle w:val="Enfasigrassetto"/>
          <w:rFonts w:ascii="Times New Roman" w:hAnsi="Times New Roman" w:cs="Times New Roman"/>
          <w:sz w:val="24"/>
          <w:szCs w:val="24"/>
          <w:bdr w:val="none" w:sz="0" w:space="0" w:color="auto" w:frame="1"/>
        </w:rPr>
        <w:t>Alfonso Piciocchi</w:t>
      </w:r>
      <w:r w:rsidRPr="001B574B">
        <w:rPr>
          <w:rStyle w:val="Enfasigrassetto"/>
          <w:rFonts w:ascii="Times New Roman" w:hAnsi="Times New Roman" w:cs="Times New Roman"/>
          <w:sz w:val="24"/>
          <w:szCs w:val="24"/>
          <w:bdr w:val="none" w:sz="0" w:space="0" w:color="auto" w:frame="1"/>
          <w:vertAlign w:val="superscript"/>
        </w:rPr>
        <w:t>2</w:t>
      </w:r>
      <w:r w:rsidRPr="001B574B">
        <w:rPr>
          <w:rStyle w:val="Enfasigrassetto"/>
          <w:rFonts w:ascii="Times New Roman" w:hAnsi="Times New Roman" w:cs="Times New Roman"/>
          <w:sz w:val="24"/>
          <w:szCs w:val="24"/>
          <w:bdr w:val="none" w:sz="0" w:space="0" w:color="auto" w:frame="1"/>
        </w:rPr>
        <w:t xml:space="preserve">, </w:t>
      </w:r>
      <w:r>
        <w:rPr>
          <w:rStyle w:val="Enfasigrassetto"/>
          <w:rFonts w:ascii="Times New Roman" w:hAnsi="Times New Roman" w:cs="Times New Roman"/>
          <w:sz w:val="24"/>
          <w:szCs w:val="24"/>
          <w:bdr w:val="none" w:sz="0" w:space="0" w:color="auto" w:frame="1"/>
        </w:rPr>
        <w:t>Maurizio Forgione</w:t>
      </w:r>
      <w:r>
        <w:rPr>
          <w:rStyle w:val="Enfasigrassetto"/>
          <w:rFonts w:ascii="Times New Roman" w:hAnsi="Times New Roman" w:cs="Times New Roman"/>
          <w:sz w:val="24"/>
          <w:szCs w:val="24"/>
          <w:bdr w:val="none" w:sz="0" w:space="0" w:color="auto" w:frame="1"/>
          <w:vertAlign w:val="superscript"/>
        </w:rPr>
        <w:t>3</w:t>
      </w:r>
      <w:r>
        <w:rPr>
          <w:rStyle w:val="Enfasigrassetto"/>
          <w:rFonts w:ascii="Times New Roman" w:hAnsi="Times New Roman" w:cs="Times New Roman"/>
          <w:sz w:val="24"/>
          <w:szCs w:val="24"/>
          <w:bdr w:val="none" w:sz="0" w:space="0" w:color="auto" w:frame="1"/>
        </w:rPr>
        <w:t>, Giulia Gasperini</w:t>
      </w:r>
      <w:r>
        <w:rPr>
          <w:rStyle w:val="Enfasigrassetto"/>
          <w:rFonts w:ascii="Times New Roman" w:hAnsi="Times New Roman" w:cs="Times New Roman"/>
          <w:sz w:val="24"/>
          <w:szCs w:val="24"/>
          <w:bdr w:val="none" w:sz="0" w:space="0" w:color="auto" w:frame="1"/>
          <w:vertAlign w:val="superscript"/>
        </w:rPr>
        <w:t>3</w:t>
      </w:r>
      <w:r>
        <w:rPr>
          <w:rStyle w:val="Enfasigrassetto"/>
          <w:rFonts w:ascii="Times New Roman" w:hAnsi="Times New Roman" w:cs="Times New Roman"/>
          <w:sz w:val="24"/>
          <w:szCs w:val="24"/>
          <w:bdr w:val="none" w:sz="0" w:space="0" w:color="auto" w:frame="1"/>
        </w:rPr>
        <w:t>, Marco Fabbri</w:t>
      </w:r>
      <w:r>
        <w:rPr>
          <w:rStyle w:val="Enfasigrassetto"/>
          <w:rFonts w:ascii="Times New Roman" w:hAnsi="Times New Roman" w:cs="Times New Roman"/>
          <w:sz w:val="24"/>
          <w:szCs w:val="24"/>
          <w:bdr w:val="none" w:sz="0" w:space="0" w:color="auto" w:frame="1"/>
          <w:vertAlign w:val="superscript"/>
        </w:rPr>
        <w:t>3</w:t>
      </w:r>
      <w:r>
        <w:rPr>
          <w:rStyle w:val="Enfasigrassetto"/>
          <w:rFonts w:ascii="Times New Roman" w:hAnsi="Times New Roman" w:cs="Times New Roman"/>
          <w:sz w:val="24"/>
          <w:szCs w:val="24"/>
          <w:bdr w:val="none" w:sz="0" w:space="0" w:color="auto" w:frame="1"/>
        </w:rPr>
        <w:t xml:space="preserve">, </w:t>
      </w:r>
      <w:r w:rsidR="006953E4" w:rsidRPr="001B574B">
        <w:rPr>
          <w:rStyle w:val="Enfasigrassetto"/>
          <w:rFonts w:ascii="Times New Roman" w:hAnsi="Times New Roman" w:cs="Times New Roman"/>
          <w:sz w:val="24"/>
          <w:szCs w:val="24"/>
          <w:bdr w:val="none" w:sz="0" w:space="0" w:color="auto" w:frame="1"/>
        </w:rPr>
        <w:t>Anna Maria Testi</w:t>
      </w:r>
      <w:r w:rsidR="006953E4" w:rsidRPr="001B574B">
        <w:rPr>
          <w:rStyle w:val="Enfasigrassetto"/>
          <w:rFonts w:ascii="Times New Roman" w:hAnsi="Times New Roman" w:cs="Times New Roman"/>
          <w:sz w:val="24"/>
          <w:szCs w:val="24"/>
          <w:bdr w:val="none" w:sz="0" w:space="0" w:color="auto" w:frame="1"/>
          <w:vertAlign w:val="superscript"/>
        </w:rPr>
        <w:t>1</w:t>
      </w:r>
      <w:r w:rsidRPr="001B574B">
        <w:rPr>
          <w:rStyle w:val="Enfasigrassetto"/>
          <w:rFonts w:ascii="Times New Roman" w:hAnsi="Times New Roman" w:cs="Times New Roman"/>
          <w:sz w:val="24"/>
          <w:szCs w:val="24"/>
          <w:bdr w:val="none" w:sz="0" w:space="0" w:color="auto" w:frame="1"/>
        </w:rPr>
        <w:t>.</w:t>
      </w:r>
    </w:p>
    <w:p w14:paraId="7CEFDD73" w14:textId="77777777" w:rsidR="00B16F89" w:rsidRDefault="00B16F89" w:rsidP="00B16F89">
      <w:pPr>
        <w:spacing w:line="240" w:lineRule="auto"/>
        <w:rPr>
          <w:rFonts w:ascii="Times New Roman" w:hAnsi="Times New Roman" w:cs="Times New Roman"/>
          <w:sz w:val="24"/>
          <w:szCs w:val="24"/>
        </w:rPr>
      </w:pPr>
      <w:r w:rsidRPr="00344991">
        <w:rPr>
          <w:rFonts w:ascii="Times New Roman" w:hAnsi="Times New Roman" w:cs="Times New Roman"/>
          <w:sz w:val="24"/>
          <w:szCs w:val="24"/>
          <w:vertAlign w:val="superscript"/>
        </w:rPr>
        <w:t>1</w:t>
      </w:r>
      <w:r w:rsidRPr="00344991">
        <w:rPr>
          <w:rFonts w:ascii="Times New Roman" w:hAnsi="Times New Roman" w:cs="Times New Roman"/>
          <w:sz w:val="24"/>
          <w:szCs w:val="24"/>
        </w:rPr>
        <w:t xml:space="preserve">Department of </w:t>
      </w:r>
      <w:proofErr w:type="spellStart"/>
      <w:r w:rsidRPr="00344991">
        <w:rPr>
          <w:rFonts w:ascii="Times New Roman" w:hAnsi="Times New Roman" w:cs="Times New Roman"/>
          <w:sz w:val="24"/>
          <w:szCs w:val="24"/>
        </w:rPr>
        <w:t>Translational</w:t>
      </w:r>
      <w:proofErr w:type="spellEnd"/>
      <w:r w:rsidRPr="00344991">
        <w:rPr>
          <w:rFonts w:ascii="Times New Roman" w:hAnsi="Times New Roman" w:cs="Times New Roman"/>
          <w:sz w:val="24"/>
          <w:szCs w:val="24"/>
        </w:rPr>
        <w:t xml:space="preserve"> and Precision Medicine, Sapienza, </w:t>
      </w:r>
      <w:proofErr w:type="spellStart"/>
      <w:r w:rsidRPr="00344991">
        <w:rPr>
          <w:rFonts w:ascii="Times New Roman" w:hAnsi="Times New Roman" w:cs="Times New Roman"/>
          <w:sz w:val="24"/>
          <w:szCs w:val="24"/>
        </w:rPr>
        <w:t>University</w:t>
      </w:r>
      <w:proofErr w:type="spellEnd"/>
      <w:r w:rsidRPr="00344991">
        <w:rPr>
          <w:rFonts w:ascii="Times New Roman" w:hAnsi="Times New Roman" w:cs="Times New Roman"/>
          <w:sz w:val="24"/>
          <w:szCs w:val="24"/>
        </w:rPr>
        <w:t xml:space="preserve"> of Rome, Rome; </w:t>
      </w:r>
      <w:r w:rsidRPr="00E07F06">
        <w:rPr>
          <w:rFonts w:ascii="Times New Roman" w:hAnsi="Times New Roman" w:cs="Times New Roman"/>
          <w:sz w:val="24"/>
          <w:szCs w:val="24"/>
          <w:vertAlign w:val="superscript"/>
        </w:rPr>
        <w:t>2</w:t>
      </w:r>
      <w:r w:rsidRPr="00E07F06">
        <w:rPr>
          <w:rFonts w:ascii="Times New Roman" w:hAnsi="Times New Roman" w:cs="Times New Roman"/>
          <w:sz w:val="24"/>
          <w:szCs w:val="24"/>
        </w:rPr>
        <w:t xml:space="preserve">Gimema Data Center, Fondazione GIMEMA Franco Mandelli </w:t>
      </w:r>
      <w:proofErr w:type="spellStart"/>
      <w:r w:rsidRPr="00E07F06">
        <w:rPr>
          <w:rFonts w:ascii="Times New Roman" w:hAnsi="Times New Roman" w:cs="Times New Roman"/>
          <w:sz w:val="24"/>
          <w:szCs w:val="24"/>
        </w:rPr>
        <w:t>Onlus</w:t>
      </w:r>
      <w:proofErr w:type="spellEnd"/>
      <w:r w:rsidRPr="00E07F06">
        <w:rPr>
          <w:rFonts w:ascii="Times New Roman" w:hAnsi="Times New Roman" w:cs="Times New Roman"/>
          <w:sz w:val="24"/>
          <w:szCs w:val="24"/>
        </w:rPr>
        <w:t>, Rome</w:t>
      </w:r>
      <w:r>
        <w:rPr>
          <w:rFonts w:ascii="Times New Roman" w:hAnsi="Times New Roman" w:cs="Times New Roman"/>
          <w:sz w:val="24"/>
          <w:szCs w:val="24"/>
        </w:rPr>
        <w:t>;</w:t>
      </w:r>
    </w:p>
    <w:p w14:paraId="190F91CC" w14:textId="3F84BFFE" w:rsidR="00B16F89" w:rsidRDefault="00B16F89" w:rsidP="00B16F89">
      <w:pPr>
        <w:spacing w:line="240" w:lineRule="auto"/>
        <w:rPr>
          <w:rFonts w:ascii="Times New Roman" w:hAnsi="Times New Roman" w:cs="Times New Roman"/>
          <w:sz w:val="24"/>
          <w:szCs w:val="24"/>
          <w:lang w:val="en-US"/>
        </w:rPr>
      </w:pPr>
      <w:r w:rsidRPr="00344991">
        <w:rPr>
          <w:rFonts w:ascii="Times New Roman" w:hAnsi="Times New Roman" w:cs="Times New Roman"/>
          <w:sz w:val="24"/>
          <w:szCs w:val="24"/>
          <w:vertAlign w:val="superscript"/>
          <w:lang w:val="en-US"/>
        </w:rPr>
        <w:t>3</w:t>
      </w:r>
      <w:r w:rsidRPr="00344991">
        <w:rPr>
          <w:rFonts w:ascii="Times New Roman" w:hAnsi="Times New Roman" w:cs="Times New Roman"/>
          <w:sz w:val="24"/>
          <w:szCs w:val="24"/>
          <w:lang w:val="en-US"/>
        </w:rPr>
        <w:t>Umberto 1, Polyclinic Hospital, Sapienza University, Rome, Italy.</w:t>
      </w:r>
    </w:p>
    <w:p w14:paraId="40785708" w14:textId="77777777" w:rsidR="00B16F89" w:rsidRPr="00C4695D" w:rsidRDefault="00B16F89" w:rsidP="00B16F89">
      <w:pPr>
        <w:spacing w:after="0" w:line="360" w:lineRule="auto"/>
        <w:jc w:val="both"/>
        <w:rPr>
          <w:rFonts w:ascii="Times New Roman" w:hAnsi="Times New Roman" w:cs="Times New Roman"/>
          <w:b/>
          <w:sz w:val="24"/>
          <w:szCs w:val="24"/>
          <w:lang w:val="en-US"/>
        </w:rPr>
      </w:pPr>
      <w:r w:rsidRPr="00C4695D">
        <w:rPr>
          <w:rFonts w:ascii="Times New Roman" w:hAnsi="Times New Roman" w:cs="Times New Roman"/>
          <w:b/>
          <w:sz w:val="24"/>
          <w:szCs w:val="24"/>
          <w:lang w:val="en-US"/>
        </w:rPr>
        <w:t>Corresponding author</w:t>
      </w:r>
    </w:p>
    <w:p w14:paraId="0819F978" w14:textId="3690160D" w:rsidR="00B16F89" w:rsidRDefault="00B16F89" w:rsidP="00B16F89">
      <w:pPr>
        <w:spacing w:line="240" w:lineRule="auto"/>
        <w:rPr>
          <w:rFonts w:ascii="Times New Roman" w:hAnsi="Times New Roman" w:cs="Times New Roman"/>
          <w:sz w:val="24"/>
          <w:szCs w:val="24"/>
        </w:rPr>
      </w:pPr>
      <w:r w:rsidRPr="00344991">
        <w:rPr>
          <w:rFonts w:ascii="Times New Roman" w:hAnsi="Times New Roman" w:cs="Times New Roman"/>
          <w:sz w:val="24"/>
          <w:szCs w:val="24"/>
        </w:rPr>
        <w:t>Anna Maria Testi</w:t>
      </w:r>
      <w:r w:rsidR="00901B9C">
        <w:rPr>
          <w:rFonts w:ascii="Times New Roman" w:hAnsi="Times New Roman" w:cs="Times New Roman"/>
          <w:sz w:val="24"/>
          <w:szCs w:val="24"/>
        </w:rPr>
        <w:t>,</w:t>
      </w:r>
      <w:r w:rsidR="00901B9C" w:rsidRPr="00901B9C">
        <w:rPr>
          <w:rFonts w:ascii="Times New Roman" w:hAnsi="Times New Roman" w:cs="Times New Roman"/>
          <w:sz w:val="24"/>
          <w:szCs w:val="24"/>
        </w:rPr>
        <w:t xml:space="preserve"> </w:t>
      </w:r>
      <w:r w:rsidR="00901B9C" w:rsidRPr="00344991">
        <w:rPr>
          <w:rFonts w:ascii="Times New Roman" w:hAnsi="Times New Roman" w:cs="Times New Roman"/>
          <w:sz w:val="24"/>
          <w:szCs w:val="24"/>
        </w:rPr>
        <w:t>ORCID: 0000-0002-1354-3659</w:t>
      </w:r>
    </w:p>
    <w:p w14:paraId="14D3E0CD" w14:textId="1A507353" w:rsidR="00B16F89" w:rsidRDefault="00B16F89" w:rsidP="00B16F89">
      <w:pPr>
        <w:spacing w:line="240" w:lineRule="auto"/>
        <w:rPr>
          <w:rFonts w:ascii="Times New Roman" w:hAnsi="Times New Roman" w:cs="Times New Roman"/>
          <w:sz w:val="24"/>
          <w:szCs w:val="24"/>
        </w:rPr>
      </w:pPr>
      <w:r w:rsidRPr="00334A2C">
        <w:rPr>
          <w:rFonts w:ascii="Times New Roman" w:hAnsi="Times New Roman" w:cs="Times New Roman"/>
          <w:sz w:val="24"/>
          <w:szCs w:val="24"/>
        </w:rPr>
        <w:t xml:space="preserve">E-mail: </w:t>
      </w:r>
      <w:hyperlink r:id="rId5" w:history="1">
        <w:r w:rsidRPr="00334A2C">
          <w:rPr>
            <w:rStyle w:val="Collegamentoipertestuale"/>
            <w:rFonts w:ascii="Times New Roman" w:hAnsi="Times New Roman" w:cs="Times New Roman"/>
            <w:sz w:val="24"/>
            <w:szCs w:val="24"/>
          </w:rPr>
          <w:t>testi@bce.uniroma1.it</w:t>
        </w:r>
      </w:hyperlink>
      <w:r w:rsidRPr="00334A2C">
        <w:rPr>
          <w:rFonts w:ascii="Times New Roman" w:hAnsi="Times New Roman" w:cs="Times New Roman"/>
          <w:sz w:val="24"/>
          <w:szCs w:val="24"/>
        </w:rPr>
        <w:t xml:space="preserve">; </w:t>
      </w:r>
      <w:hyperlink r:id="rId6" w:history="1">
        <w:r w:rsidR="00D7366F" w:rsidRPr="00133575">
          <w:rPr>
            <w:rStyle w:val="Collegamentoipertestuale"/>
            <w:rFonts w:ascii="Times New Roman" w:hAnsi="Times New Roman" w:cs="Times New Roman"/>
            <w:sz w:val="24"/>
            <w:szCs w:val="24"/>
          </w:rPr>
          <w:t>annamaria.testi@uniroma1.it</w:t>
        </w:r>
      </w:hyperlink>
    </w:p>
    <w:p w14:paraId="05B2F2A7" w14:textId="59770112" w:rsidR="00D7366F" w:rsidRPr="00334A2C" w:rsidRDefault="00D7366F" w:rsidP="00B16F89">
      <w:pPr>
        <w:spacing w:line="240" w:lineRule="auto"/>
        <w:rPr>
          <w:rFonts w:ascii="Times New Roman" w:hAnsi="Times New Roman" w:cs="Times New Roman"/>
          <w:sz w:val="24"/>
          <w:szCs w:val="24"/>
        </w:rPr>
      </w:pPr>
      <w:r>
        <w:rPr>
          <w:rFonts w:ascii="Times New Roman" w:hAnsi="Times New Roman" w:cs="Times New Roman"/>
          <w:sz w:val="24"/>
          <w:szCs w:val="24"/>
        </w:rPr>
        <w:t xml:space="preserve">Sapienza, </w:t>
      </w:r>
      <w:proofErr w:type="spellStart"/>
      <w:r>
        <w:rPr>
          <w:rFonts w:ascii="Times New Roman" w:hAnsi="Times New Roman" w:cs="Times New Roman"/>
          <w:sz w:val="24"/>
          <w:szCs w:val="24"/>
        </w:rPr>
        <w:t>University</w:t>
      </w:r>
      <w:proofErr w:type="spellEnd"/>
      <w:r>
        <w:rPr>
          <w:rFonts w:ascii="Times New Roman" w:hAnsi="Times New Roman" w:cs="Times New Roman"/>
          <w:sz w:val="24"/>
          <w:szCs w:val="24"/>
        </w:rPr>
        <w:t xml:space="preserve"> of Rome, </w:t>
      </w:r>
      <w:proofErr w:type="spellStart"/>
      <w:r>
        <w:rPr>
          <w:rFonts w:ascii="Times New Roman" w:hAnsi="Times New Roman" w:cs="Times New Roman"/>
          <w:sz w:val="24"/>
          <w:szCs w:val="24"/>
        </w:rPr>
        <w:t>Italy</w:t>
      </w:r>
      <w:proofErr w:type="spellEnd"/>
      <w:r>
        <w:rPr>
          <w:rFonts w:ascii="Times New Roman" w:hAnsi="Times New Roman" w:cs="Times New Roman"/>
          <w:sz w:val="24"/>
          <w:szCs w:val="24"/>
        </w:rPr>
        <w:t xml:space="preserve"> </w:t>
      </w:r>
    </w:p>
    <w:p w14:paraId="1F63C9C7" w14:textId="77777777" w:rsidR="00B16F89" w:rsidRPr="00036651" w:rsidRDefault="00B16F89" w:rsidP="00B16F89">
      <w:pPr>
        <w:spacing w:after="0" w:line="240" w:lineRule="auto"/>
        <w:jc w:val="both"/>
        <w:rPr>
          <w:rFonts w:ascii="Times New Roman" w:hAnsi="Times New Roman" w:cs="Times New Roman"/>
          <w:sz w:val="24"/>
          <w:szCs w:val="24"/>
          <w:lang w:val="en-US"/>
        </w:rPr>
      </w:pPr>
      <w:r w:rsidRPr="00036651">
        <w:rPr>
          <w:rFonts w:ascii="Times New Roman" w:hAnsi="Times New Roman" w:cs="Times New Roman"/>
          <w:sz w:val="24"/>
          <w:szCs w:val="24"/>
          <w:lang w:val="en-US"/>
        </w:rPr>
        <w:t>Hematology, Department of Translational and Precision Medicine</w:t>
      </w:r>
    </w:p>
    <w:p w14:paraId="4A217031" w14:textId="77777777" w:rsidR="00B16F89" w:rsidRPr="00344991" w:rsidRDefault="00B16F89" w:rsidP="00B16F89">
      <w:pPr>
        <w:spacing w:line="360" w:lineRule="auto"/>
        <w:rPr>
          <w:rFonts w:ascii="Times New Roman" w:hAnsi="Times New Roman" w:cs="Times New Roman"/>
          <w:sz w:val="24"/>
          <w:szCs w:val="24"/>
          <w:lang w:val="en-US"/>
        </w:rPr>
      </w:pPr>
    </w:p>
    <w:p w14:paraId="52C4FEBA" w14:textId="68665931" w:rsidR="00B16F89" w:rsidRDefault="00B16F89" w:rsidP="008151FF">
      <w:pPr>
        <w:spacing w:line="36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SUPPLEMENTARY INFORMATIONS</w:t>
      </w:r>
    </w:p>
    <w:p w14:paraId="71951C11" w14:textId="77777777" w:rsidR="00B16F89" w:rsidRDefault="00B16F89" w:rsidP="008151FF">
      <w:pPr>
        <w:spacing w:line="360" w:lineRule="auto"/>
        <w:jc w:val="both"/>
        <w:rPr>
          <w:rFonts w:ascii="Times New Roman" w:hAnsi="Times New Roman" w:cs="Times New Roman"/>
          <w:b/>
          <w:sz w:val="24"/>
          <w:szCs w:val="24"/>
          <w:lang w:val="en-US"/>
        </w:rPr>
      </w:pPr>
    </w:p>
    <w:p w14:paraId="32F9E534" w14:textId="6A6CF8E3" w:rsidR="008151FF" w:rsidRPr="002C3A8D" w:rsidRDefault="008151FF" w:rsidP="008151FF">
      <w:pPr>
        <w:spacing w:line="360" w:lineRule="auto"/>
        <w:jc w:val="both"/>
        <w:rPr>
          <w:rFonts w:ascii="Times New Roman" w:hAnsi="Times New Roman" w:cs="Times New Roman"/>
          <w:b/>
          <w:sz w:val="24"/>
          <w:szCs w:val="24"/>
          <w:lang w:val="en-US"/>
        </w:rPr>
      </w:pPr>
      <w:r w:rsidRPr="002C3A8D">
        <w:rPr>
          <w:rFonts w:ascii="Times New Roman" w:hAnsi="Times New Roman" w:cs="Times New Roman"/>
          <w:b/>
          <w:sz w:val="24"/>
          <w:szCs w:val="24"/>
          <w:lang w:val="en-US"/>
        </w:rPr>
        <w:t xml:space="preserve">PICC </w:t>
      </w:r>
      <w:r w:rsidR="009D1F09">
        <w:rPr>
          <w:rFonts w:ascii="Times New Roman" w:hAnsi="Times New Roman" w:cs="Times New Roman"/>
          <w:b/>
          <w:sz w:val="24"/>
          <w:szCs w:val="24"/>
          <w:lang w:val="en-US"/>
        </w:rPr>
        <w:t xml:space="preserve">insertion and </w:t>
      </w:r>
      <w:r w:rsidRPr="002C3A8D">
        <w:rPr>
          <w:rFonts w:ascii="Times New Roman" w:hAnsi="Times New Roman" w:cs="Times New Roman"/>
          <w:b/>
          <w:sz w:val="24"/>
          <w:szCs w:val="24"/>
          <w:lang w:val="en-US"/>
        </w:rPr>
        <w:t>maintenance</w:t>
      </w:r>
    </w:p>
    <w:p w14:paraId="30DFD484" w14:textId="2DD2372D" w:rsidR="009D1F09" w:rsidRPr="002C3A8D" w:rsidRDefault="009D1F09" w:rsidP="009D1F09">
      <w:pPr>
        <w:spacing w:line="360" w:lineRule="auto"/>
        <w:jc w:val="both"/>
        <w:rPr>
          <w:rFonts w:ascii="Times New Roman" w:hAnsi="Times New Roman" w:cs="Times New Roman"/>
          <w:sz w:val="24"/>
          <w:szCs w:val="24"/>
          <w:lang w:val="en-US"/>
        </w:rPr>
      </w:pPr>
      <w:r w:rsidRPr="002C3A8D">
        <w:rPr>
          <w:rFonts w:ascii="Times New Roman" w:hAnsi="Times New Roman" w:cs="Times New Roman"/>
          <w:sz w:val="24"/>
          <w:szCs w:val="24"/>
          <w:lang w:val="en-US"/>
        </w:rPr>
        <w:t xml:space="preserve">Before </w:t>
      </w:r>
      <w:r>
        <w:rPr>
          <w:rFonts w:ascii="Times New Roman" w:hAnsi="Times New Roman" w:cs="Times New Roman"/>
          <w:sz w:val="24"/>
          <w:szCs w:val="24"/>
          <w:lang w:val="en-US"/>
        </w:rPr>
        <w:t>the device positioning</w:t>
      </w:r>
      <w:r w:rsidRPr="002C3A8D">
        <w:rPr>
          <w:rFonts w:ascii="Times New Roman" w:hAnsi="Times New Roman" w:cs="Times New Roman"/>
          <w:sz w:val="24"/>
          <w:szCs w:val="24"/>
          <w:lang w:val="en-US"/>
        </w:rPr>
        <w:t>, PICC team evaluate</w:t>
      </w:r>
      <w:r>
        <w:rPr>
          <w:rFonts w:ascii="Times New Roman" w:hAnsi="Times New Roman" w:cs="Times New Roman"/>
          <w:sz w:val="24"/>
          <w:szCs w:val="24"/>
          <w:lang w:val="en-US"/>
        </w:rPr>
        <w:t>s</w:t>
      </w:r>
      <w:r w:rsidRPr="002C3A8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patients’ </w:t>
      </w:r>
      <w:r w:rsidRPr="002C3A8D">
        <w:rPr>
          <w:rFonts w:ascii="Times New Roman" w:hAnsi="Times New Roman" w:cs="Times New Roman"/>
          <w:sz w:val="24"/>
          <w:szCs w:val="24"/>
          <w:lang w:val="en-US"/>
        </w:rPr>
        <w:t>arms and veins, aided by use of ultras</w:t>
      </w:r>
      <w:r>
        <w:rPr>
          <w:rFonts w:ascii="Times New Roman" w:hAnsi="Times New Roman" w:cs="Times New Roman"/>
          <w:sz w:val="24"/>
          <w:szCs w:val="24"/>
          <w:lang w:val="en-US"/>
        </w:rPr>
        <w:t>onography</w:t>
      </w:r>
      <w:r w:rsidRPr="002C3A8D">
        <w:rPr>
          <w:rFonts w:ascii="Times New Roman" w:hAnsi="Times New Roman" w:cs="Times New Roman"/>
          <w:sz w:val="24"/>
          <w:szCs w:val="24"/>
          <w:lang w:val="en-US"/>
        </w:rPr>
        <w:t xml:space="preserve">; then, they choose the most suitable device to implant. </w:t>
      </w:r>
      <w:r w:rsidRPr="00253E79">
        <w:rPr>
          <w:rFonts w:ascii="Times New Roman" w:hAnsi="Times New Roman" w:cs="Times New Roman"/>
          <w:sz w:val="24"/>
          <w:szCs w:val="24"/>
          <w:lang w:val="en-US"/>
        </w:rPr>
        <w:t xml:space="preserve">The correct relationship, between vein caliber and catheter lumen, </w:t>
      </w:r>
      <w:r>
        <w:rPr>
          <w:rFonts w:ascii="Times New Roman" w:hAnsi="Times New Roman" w:cs="Times New Roman"/>
          <w:sz w:val="24"/>
          <w:szCs w:val="24"/>
          <w:lang w:val="en-US"/>
        </w:rPr>
        <w:t>is</w:t>
      </w:r>
      <w:r w:rsidRPr="00253E79">
        <w:rPr>
          <w:rFonts w:ascii="Times New Roman" w:hAnsi="Times New Roman" w:cs="Times New Roman"/>
          <w:sz w:val="24"/>
          <w:szCs w:val="24"/>
          <w:lang w:val="en-US"/>
        </w:rPr>
        <w:t xml:space="preserve"> carefully evaluated to reduce the risk of PICC-related deep vein thrombosis</w:t>
      </w:r>
      <w:r>
        <w:rPr>
          <w:rFonts w:ascii="Times New Roman" w:hAnsi="Times New Roman" w:cs="Times New Roman"/>
          <w:sz w:val="24"/>
          <w:szCs w:val="24"/>
          <w:lang w:val="en-US"/>
        </w:rPr>
        <w:t>.</w:t>
      </w:r>
      <w:r w:rsidRPr="00253E79">
        <w:rPr>
          <w:rFonts w:ascii="Times New Roman" w:hAnsi="Times New Roman" w:cs="Times New Roman"/>
          <w:lang w:val="en-US"/>
        </w:rPr>
        <w:t xml:space="preserve"> The </w:t>
      </w:r>
      <w:r w:rsidRPr="00253E79">
        <w:rPr>
          <w:rFonts w:ascii="Times New Roman" w:hAnsi="Times New Roman" w:cs="Times New Roman"/>
          <w:sz w:val="24"/>
          <w:szCs w:val="24"/>
          <w:lang w:val="en-US"/>
        </w:rPr>
        <w:t xml:space="preserve">peripheral venous access </w:t>
      </w:r>
      <w:r>
        <w:rPr>
          <w:rFonts w:ascii="Times New Roman" w:hAnsi="Times New Roman" w:cs="Times New Roman"/>
          <w:sz w:val="24"/>
          <w:szCs w:val="24"/>
          <w:lang w:val="en-US"/>
        </w:rPr>
        <w:t>is</w:t>
      </w:r>
      <w:r w:rsidRPr="00253E79">
        <w:rPr>
          <w:rFonts w:ascii="Times New Roman" w:hAnsi="Times New Roman" w:cs="Times New Roman"/>
          <w:sz w:val="24"/>
          <w:szCs w:val="24"/>
          <w:lang w:val="en-US"/>
        </w:rPr>
        <w:t xml:space="preserve"> obtained through the basilic or brachial vein, u</w:t>
      </w:r>
      <w:r>
        <w:rPr>
          <w:rFonts w:ascii="Times New Roman" w:hAnsi="Times New Roman" w:cs="Times New Roman"/>
          <w:sz w:val="24"/>
          <w:szCs w:val="24"/>
          <w:lang w:val="en-US"/>
        </w:rPr>
        <w:t>nder</w:t>
      </w:r>
      <w:r w:rsidRPr="00253E79">
        <w:rPr>
          <w:rFonts w:ascii="Times New Roman" w:hAnsi="Times New Roman" w:cs="Times New Roman"/>
          <w:lang w:val="en-US"/>
        </w:rPr>
        <w:t xml:space="preserve"> </w:t>
      </w:r>
      <w:r w:rsidRPr="00253E79">
        <w:rPr>
          <w:rFonts w:ascii="Times New Roman" w:hAnsi="Times New Roman" w:cs="Times New Roman"/>
          <w:sz w:val="24"/>
          <w:szCs w:val="24"/>
          <w:lang w:val="en-US"/>
        </w:rPr>
        <w:t xml:space="preserve">ultrasound guidance. </w:t>
      </w:r>
    </w:p>
    <w:p w14:paraId="37DAD0C9" w14:textId="04E0418E" w:rsidR="008151FF" w:rsidRPr="002C3A8D" w:rsidRDefault="009D1F09" w:rsidP="008151FF">
      <w:pPr>
        <w:spacing w:line="360" w:lineRule="auto"/>
        <w:jc w:val="both"/>
        <w:rPr>
          <w:rFonts w:ascii="Times New Roman" w:hAnsi="Times New Roman" w:cs="Times New Roman"/>
          <w:sz w:val="24"/>
          <w:szCs w:val="24"/>
          <w:lang w:val="en-US"/>
        </w:rPr>
      </w:pPr>
      <w:r w:rsidRPr="002C3A8D">
        <w:rPr>
          <w:rFonts w:ascii="Times New Roman" w:hAnsi="Times New Roman" w:cs="Times New Roman"/>
          <w:sz w:val="24"/>
          <w:szCs w:val="24"/>
          <w:lang w:val="en-US"/>
        </w:rPr>
        <w:t xml:space="preserve">Within six hours since </w:t>
      </w:r>
      <w:r>
        <w:rPr>
          <w:rFonts w:ascii="Times New Roman" w:hAnsi="Times New Roman" w:cs="Times New Roman"/>
          <w:sz w:val="24"/>
          <w:szCs w:val="24"/>
          <w:lang w:val="en-US"/>
        </w:rPr>
        <w:t>positioning</w:t>
      </w:r>
      <w:r w:rsidRPr="002C3A8D">
        <w:rPr>
          <w:rFonts w:ascii="Times New Roman" w:hAnsi="Times New Roman" w:cs="Times New Roman"/>
          <w:sz w:val="24"/>
          <w:szCs w:val="24"/>
          <w:lang w:val="en-US"/>
        </w:rPr>
        <w:t xml:space="preserve">, an X-ray control </w:t>
      </w:r>
      <w:r>
        <w:rPr>
          <w:rFonts w:ascii="Times New Roman" w:hAnsi="Times New Roman" w:cs="Times New Roman"/>
          <w:sz w:val="24"/>
          <w:szCs w:val="24"/>
          <w:lang w:val="en-US"/>
        </w:rPr>
        <w:t>is</w:t>
      </w:r>
      <w:r w:rsidRPr="002C3A8D">
        <w:rPr>
          <w:rFonts w:ascii="Times New Roman" w:hAnsi="Times New Roman" w:cs="Times New Roman"/>
          <w:sz w:val="24"/>
          <w:szCs w:val="24"/>
          <w:lang w:val="en-US"/>
        </w:rPr>
        <w:t xml:space="preserve"> performed to confirm the correct PICC position</w:t>
      </w:r>
      <w:r>
        <w:rPr>
          <w:rFonts w:ascii="Times New Roman" w:hAnsi="Times New Roman" w:cs="Times New Roman"/>
          <w:sz w:val="24"/>
          <w:szCs w:val="24"/>
          <w:lang w:val="en-US"/>
        </w:rPr>
        <w:t xml:space="preserve"> of the tip</w:t>
      </w:r>
      <w:r w:rsidRPr="002C3A8D">
        <w:rPr>
          <w:rFonts w:ascii="Times New Roman" w:hAnsi="Times New Roman" w:cs="Times New Roman"/>
          <w:sz w:val="24"/>
          <w:szCs w:val="24"/>
          <w:lang w:val="en-US"/>
        </w:rPr>
        <w:t xml:space="preserve"> (i.e., </w:t>
      </w:r>
      <w:proofErr w:type="spellStart"/>
      <w:r w:rsidRPr="002C3A8D">
        <w:rPr>
          <w:rFonts w:ascii="Times New Roman" w:hAnsi="Times New Roman" w:cs="Times New Roman"/>
          <w:sz w:val="24"/>
          <w:szCs w:val="24"/>
          <w:lang w:val="en-US"/>
        </w:rPr>
        <w:t>Atrio-Caval</w:t>
      </w:r>
      <w:proofErr w:type="spellEnd"/>
      <w:r w:rsidRPr="002C3A8D">
        <w:rPr>
          <w:rFonts w:ascii="Times New Roman" w:hAnsi="Times New Roman" w:cs="Times New Roman"/>
          <w:sz w:val="24"/>
          <w:szCs w:val="24"/>
          <w:lang w:val="en-US"/>
        </w:rPr>
        <w:t xml:space="preserve"> junction). Immediately after the </w:t>
      </w:r>
      <w:r>
        <w:rPr>
          <w:rFonts w:ascii="Times New Roman" w:hAnsi="Times New Roman" w:cs="Times New Roman"/>
          <w:sz w:val="24"/>
          <w:szCs w:val="24"/>
          <w:lang w:val="en-US"/>
        </w:rPr>
        <w:t>insertion</w:t>
      </w:r>
      <w:r w:rsidRPr="002C3A8D">
        <w:rPr>
          <w:rFonts w:ascii="Times New Roman" w:hAnsi="Times New Roman" w:cs="Times New Roman"/>
          <w:sz w:val="24"/>
          <w:szCs w:val="24"/>
          <w:lang w:val="en-US"/>
        </w:rPr>
        <w:t xml:space="preserve">, the </w:t>
      </w:r>
      <w:r>
        <w:rPr>
          <w:rFonts w:ascii="Times New Roman" w:hAnsi="Times New Roman" w:cs="Times New Roman"/>
          <w:sz w:val="24"/>
          <w:szCs w:val="24"/>
          <w:lang w:val="en-US"/>
        </w:rPr>
        <w:t xml:space="preserve">PICC </w:t>
      </w:r>
      <w:r w:rsidRPr="002C3A8D">
        <w:rPr>
          <w:rFonts w:ascii="Times New Roman" w:hAnsi="Times New Roman" w:cs="Times New Roman"/>
          <w:sz w:val="24"/>
          <w:szCs w:val="24"/>
          <w:lang w:val="en-US"/>
        </w:rPr>
        <w:t xml:space="preserve">exit-site </w:t>
      </w:r>
      <w:r>
        <w:rPr>
          <w:rFonts w:ascii="Times New Roman" w:hAnsi="Times New Roman" w:cs="Times New Roman"/>
          <w:sz w:val="24"/>
          <w:szCs w:val="24"/>
          <w:lang w:val="en-US"/>
        </w:rPr>
        <w:t>is</w:t>
      </w:r>
      <w:r w:rsidRPr="002C3A8D">
        <w:rPr>
          <w:rFonts w:ascii="Times New Roman" w:hAnsi="Times New Roman" w:cs="Times New Roman"/>
          <w:sz w:val="24"/>
          <w:szCs w:val="24"/>
          <w:lang w:val="en-US"/>
        </w:rPr>
        <w:t xml:space="preserve"> safeguarded by means of a 5x5cm sterile gauze applied on the skin and covered with a transparent dressing such as a 3M Tegaderm-type patch or similar.</w:t>
      </w:r>
      <w:r>
        <w:rPr>
          <w:rFonts w:ascii="Times New Roman" w:hAnsi="Times New Roman" w:cs="Times New Roman"/>
          <w:sz w:val="24"/>
          <w:szCs w:val="24"/>
          <w:lang w:val="en-US"/>
        </w:rPr>
        <w:t xml:space="preserve"> </w:t>
      </w:r>
      <w:r w:rsidR="001A35A7" w:rsidRPr="007E0FD2">
        <w:rPr>
          <w:rFonts w:ascii="Times New Roman" w:hAnsi="Times New Roman" w:cs="Times New Roman"/>
          <w:sz w:val="24"/>
          <w:szCs w:val="24"/>
          <w:lang w:val="en-US"/>
        </w:rPr>
        <w:t xml:space="preserve">The first post-implantation dressing </w:t>
      </w:r>
      <w:r w:rsidR="001A35A7">
        <w:rPr>
          <w:rFonts w:ascii="Times New Roman" w:hAnsi="Times New Roman" w:cs="Times New Roman"/>
          <w:sz w:val="24"/>
          <w:szCs w:val="24"/>
          <w:lang w:val="en-US"/>
        </w:rPr>
        <w:t>is</w:t>
      </w:r>
      <w:r w:rsidR="001A35A7" w:rsidRPr="007E0FD2">
        <w:rPr>
          <w:rFonts w:ascii="Times New Roman" w:hAnsi="Times New Roman" w:cs="Times New Roman"/>
          <w:sz w:val="24"/>
          <w:szCs w:val="24"/>
          <w:lang w:val="en-US"/>
        </w:rPr>
        <w:t xml:space="preserve"> performed between 24</w:t>
      </w:r>
      <w:r w:rsidR="001A35A7">
        <w:rPr>
          <w:rFonts w:ascii="Times New Roman" w:hAnsi="Times New Roman" w:cs="Times New Roman"/>
          <w:sz w:val="24"/>
          <w:szCs w:val="24"/>
          <w:lang w:val="en-US"/>
        </w:rPr>
        <w:t>-</w:t>
      </w:r>
      <w:r w:rsidR="001A35A7" w:rsidRPr="007E0FD2">
        <w:rPr>
          <w:rFonts w:ascii="Times New Roman" w:hAnsi="Times New Roman" w:cs="Times New Roman"/>
          <w:sz w:val="24"/>
          <w:szCs w:val="24"/>
          <w:lang w:val="en-US"/>
        </w:rPr>
        <w:t xml:space="preserve">48 hours after PICC insertion, depending on patient’s clinical condition; thereafter, it </w:t>
      </w:r>
      <w:r w:rsidR="001A35A7">
        <w:rPr>
          <w:rFonts w:ascii="Times New Roman" w:hAnsi="Times New Roman" w:cs="Times New Roman"/>
          <w:sz w:val="24"/>
          <w:szCs w:val="24"/>
          <w:lang w:val="en-US"/>
        </w:rPr>
        <w:t xml:space="preserve">was </w:t>
      </w:r>
      <w:r w:rsidR="001A35A7" w:rsidRPr="007E0FD2">
        <w:rPr>
          <w:rFonts w:ascii="Times New Roman" w:hAnsi="Times New Roman" w:cs="Times New Roman"/>
          <w:sz w:val="24"/>
          <w:szCs w:val="24"/>
          <w:lang w:val="en-US"/>
        </w:rPr>
        <w:t xml:space="preserve">done every </w:t>
      </w:r>
      <w:r w:rsidR="001A35A7">
        <w:rPr>
          <w:rFonts w:ascii="Times New Roman" w:hAnsi="Times New Roman" w:cs="Times New Roman"/>
          <w:sz w:val="24"/>
          <w:szCs w:val="24"/>
          <w:lang w:val="en-US"/>
        </w:rPr>
        <w:t>week</w:t>
      </w:r>
      <w:r w:rsidR="001A35A7" w:rsidRPr="007E0FD2">
        <w:rPr>
          <w:rFonts w:ascii="Times New Roman" w:hAnsi="Times New Roman" w:cs="Times New Roman"/>
          <w:sz w:val="24"/>
          <w:szCs w:val="24"/>
          <w:lang w:val="en-US"/>
        </w:rPr>
        <w:t xml:space="preserve"> or earlier if necessary. </w:t>
      </w:r>
      <w:r w:rsidR="00D32539" w:rsidRPr="007E0FD2">
        <w:rPr>
          <w:rFonts w:ascii="Times New Roman" w:hAnsi="Times New Roman" w:cs="Times New Roman"/>
          <w:sz w:val="24"/>
          <w:szCs w:val="24"/>
          <w:lang w:val="en-US"/>
        </w:rPr>
        <w:t xml:space="preserve">PICC line exit site </w:t>
      </w:r>
      <w:r w:rsidR="00D32539">
        <w:rPr>
          <w:rFonts w:ascii="Times New Roman" w:hAnsi="Times New Roman" w:cs="Times New Roman"/>
          <w:sz w:val="24"/>
          <w:szCs w:val="24"/>
          <w:lang w:val="en-US"/>
        </w:rPr>
        <w:t>is</w:t>
      </w:r>
      <w:r w:rsidR="00D32539" w:rsidRPr="007E0FD2">
        <w:rPr>
          <w:rFonts w:ascii="Times New Roman" w:hAnsi="Times New Roman" w:cs="Times New Roman"/>
          <w:sz w:val="24"/>
          <w:szCs w:val="24"/>
          <w:lang w:val="en-US"/>
        </w:rPr>
        <w:t xml:space="preserve"> dressed by </w:t>
      </w:r>
      <w:r w:rsidR="00D32539">
        <w:rPr>
          <w:rFonts w:ascii="Times New Roman" w:hAnsi="Times New Roman" w:cs="Times New Roman"/>
          <w:sz w:val="24"/>
          <w:szCs w:val="24"/>
          <w:lang w:val="en-US"/>
        </w:rPr>
        <w:t xml:space="preserve">PICC-Team nurses. </w:t>
      </w:r>
      <w:r w:rsidR="00D32539" w:rsidRPr="002C3A8D">
        <w:rPr>
          <w:rFonts w:ascii="Times New Roman" w:hAnsi="Times New Roman" w:cs="Times New Roman"/>
          <w:sz w:val="24"/>
          <w:szCs w:val="24"/>
          <w:lang w:val="en-US"/>
        </w:rPr>
        <w:t xml:space="preserve">Pediatric patients are very peculiar: they need </w:t>
      </w:r>
      <w:r w:rsidR="00D32539">
        <w:rPr>
          <w:rFonts w:ascii="Times New Roman" w:hAnsi="Times New Roman" w:cs="Times New Roman"/>
          <w:sz w:val="24"/>
          <w:szCs w:val="24"/>
          <w:lang w:val="en-US"/>
        </w:rPr>
        <w:t xml:space="preserve">to </w:t>
      </w:r>
      <w:r w:rsidR="00D32539" w:rsidRPr="002C3A8D">
        <w:rPr>
          <w:rFonts w:ascii="Times New Roman" w:hAnsi="Times New Roman" w:cs="Times New Roman"/>
          <w:sz w:val="24"/>
          <w:szCs w:val="24"/>
          <w:lang w:val="en-US"/>
        </w:rPr>
        <w:t>be calm and feel safe, as do their parents. The nursing staff introduce</w:t>
      </w:r>
      <w:r w:rsidR="00D32539">
        <w:rPr>
          <w:rFonts w:ascii="Times New Roman" w:hAnsi="Times New Roman" w:cs="Times New Roman"/>
          <w:sz w:val="24"/>
          <w:szCs w:val="24"/>
          <w:lang w:val="en-US"/>
        </w:rPr>
        <w:t>s</w:t>
      </w:r>
      <w:r w:rsidR="00D32539" w:rsidRPr="002C3A8D">
        <w:rPr>
          <w:rFonts w:ascii="Times New Roman" w:hAnsi="Times New Roman" w:cs="Times New Roman"/>
          <w:sz w:val="24"/>
          <w:szCs w:val="24"/>
          <w:lang w:val="en-US"/>
        </w:rPr>
        <w:t xml:space="preserve"> distraction elements during dressing procedures </w:t>
      </w:r>
      <w:r w:rsidR="00D32539">
        <w:rPr>
          <w:rFonts w:ascii="Times New Roman" w:hAnsi="Times New Roman" w:cs="Times New Roman"/>
          <w:sz w:val="24"/>
          <w:szCs w:val="24"/>
          <w:lang w:val="en-US"/>
        </w:rPr>
        <w:t>(</w:t>
      </w:r>
      <w:r w:rsidR="00D32539" w:rsidRPr="002C3A8D">
        <w:rPr>
          <w:rFonts w:ascii="Times New Roman" w:hAnsi="Times New Roman" w:cs="Times New Roman"/>
          <w:sz w:val="24"/>
          <w:szCs w:val="24"/>
          <w:lang w:val="en-US"/>
        </w:rPr>
        <w:t>photos, videos, games</w:t>
      </w:r>
      <w:r w:rsidR="00D32539">
        <w:rPr>
          <w:rFonts w:ascii="Times New Roman" w:hAnsi="Times New Roman" w:cs="Times New Roman"/>
          <w:sz w:val="24"/>
          <w:szCs w:val="24"/>
          <w:lang w:val="en-US"/>
        </w:rPr>
        <w:t>)</w:t>
      </w:r>
      <w:r w:rsidR="00D32539" w:rsidRPr="002C3A8D">
        <w:rPr>
          <w:rFonts w:ascii="Times New Roman" w:hAnsi="Times New Roman" w:cs="Times New Roman"/>
          <w:sz w:val="24"/>
          <w:szCs w:val="24"/>
          <w:lang w:val="en-US"/>
        </w:rPr>
        <w:t>, to minimize the stress and anxiety of the little patient and his/her family. Thanks to th</w:t>
      </w:r>
      <w:r w:rsidR="00D32539">
        <w:rPr>
          <w:rFonts w:ascii="Times New Roman" w:hAnsi="Times New Roman" w:cs="Times New Roman"/>
          <w:sz w:val="24"/>
          <w:szCs w:val="24"/>
          <w:lang w:val="en-US"/>
        </w:rPr>
        <w:t>is</w:t>
      </w:r>
      <w:r w:rsidR="00D32539" w:rsidRPr="002C3A8D">
        <w:rPr>
          <w:rFonts w:ascii="Times New Roman" w:hAnsi="Times New Roman" w:cs="Times New Roman"/>
          <w:sz w:val="24"/>
          <w:szCs w:val="24"/>
          <w:lang w:val="en-US"/>
        </w:rPr>
        <w:t xml:space="preserve">, they </w:t>
      </w:r>
      <w:r w:rsidR="00D32539" w:rsidRPr="002C3A8D">
        <w:rPr>
          <w:rFonts w:ascii="Times New Roman" w:hAnsi="Times New Roman" w:cs="Times New Roman"/>
          <w:sz w:val="24"/>
          <w:szCs w:val="24"/>
          <w:lang w:val="en-US"/>
        </w:rPr>
        <w:lastRenderedPageBreak/>
        <w:t>are more likely to learn the right practices to keep safe both dressing and device, sometimes even with a little help from a simulation of the procedure performed on the little patients’ favorite puppets.</w:t>
      </w:r>
      <w:r w:rsidR="00D32539">
        <w:rPr>
          <w:rFonts w:ascii="Times New Roman" w:hAnsi="Times New Roman" w:cs="Times New Roman"/>
          <w:sz w:val="24"/>
          <w:szCs w:val="24"/>
          <w:lang w:val="en-US"/>
        </w:rPr>
        <w:t xml:space="preserve"> </w:t>
      </w:r>
      <w:r w:rsidR="008151FF" w:rsidRPr="002C3A8D">
        <w:rPr>
          <w:rFonts w:ascii="Times New Roman" w:hAnsi="Times New Roman" w:cs="Times New Roman"/>
          <w:sz w:val="24"/>
          <w:szCs w:val="24"/>
          <w:lang w:val="en-US"/>
        </w:rPr>
        <w:t xml:space="preserve">The dressing is performed with a sterile technique and the following steps are adopted: I. a sterile field is prepared with gauzes, tampons, pliers, scissors, 2% chlorhexidine disinfectant, 0.9% sodium chloride, fixing systems and patches; II. the previous dressing is removed (if the procedure is particularly painful and/or the patch is too hard to detach, a removal napkins or spray is used to reduce the “tearing” effect and the possible trauma) and the exit-site with the surrounding skin is evaluated; III. if inflammation signs are present, a culture swab and a blood culture are done; IV. fixing system is removed; V. the disinfection is performed with circular movements from the inside outwards starting from the exit-site; VI. once the disinfection time has elapsed, the skin is cleaned with sodium chloride except for the exit-site; VII. the best dressing for the patient is placed and finally covered with a tubular elastic net, so to assure greater safety (checking that it is of the right size and do not tight too much). All is a no-touch procedure. Depending on the case and if well tolerated, at the first dressing the use of a transparent patch is preferred; otherwise, a medicated patch is used, especially if there is a little bleeding. If the patient shows slight intolerance to the patches glue (redness, erythema, vesicles), a sterile gauze is applied on the exit-site and then a cohesive rolled bandage of variable height according to patient’s age (not too tight to avoid PICC compressions which could increase the risk of thrombotic complications) is used. In case of significant intolerance to the patches glue and, in particular, to that of the fixing system, Skin-Protector sprays can be applied (we use </w:t>
      </w:r>
      <w:proofErr w:type="spellStart"/>
      <w:r w:rsidR="008151FF" w:rsidRPr="002C3A8D">
        <w:rPr>
          <w:rFonts w:ascii="Times New Roman" w:hAnsi="Times New Roman" w:cs="Times New Roman"/>
          <w:sz w:val="24"/>
          <w:szCs w:val="24"/>
          <w:lang w:val="en-US"/>
        </w:rPr>
        <w:t>Cavillon</w:t>
      </w:r>
      <w:proofErr w:type="spellEnd"/>
      <w:r w:rsidR="008151FF" w:rsidRPr="002C3A8D">
        <w:rPr>
          <w:rFonts w:ascii="Times New Roman" w:hAnsi="Times New Roman" w:cs="Times New Roman"/>
          <w:sz w:val="24"/>
          <w:szCs w:val="24"/>
          <w:lang w:val="en-US"/>
        </w:rPr>
        <w:t xml:space="preserve"> by 3M). These sprays create a protective film on the patient's skin where the patches or the fixing system can be applied. </w:t>
      </w:r>
    </w:p>
    <w:p w14:paraId="60888124" w14:textId="77777777" w:rsidR="008151FF" w:rsidRPr="002C3A8D" w:rsidRDefault="008151FF" w:rsidP="008151FF">
      <w:pPr>
        <w:spacing w:line="360" w:lineRule="auto"/>
        <w:jc w:val="both"/>
        <w:rPr>
          <w:rFonts w:ascii="Times New Roman" w:hAnsi="Times New Roman" w:cs="Times New Roman"/>
          <w:sz w:val="24"/>
          <w:szCs w:val="24"/>
          <w:lang w:val="en-US"/>
        </w:rPr>
      </w:pPr>
      <w:r w:rsidRPr="002C3A8D">
        <w:rPr>
          <w:rFonts w:ascii="Times New Roman" w:hAnsi="Times New Roman" w:cs="Times New Roman"/>
          <w:sz w:val="24"/>
          <w:szCs w:val="24"/>
          <w:lang w:val="en-US"/>
        </w:rPr>
        <w:t>Once the dressing is finished, the patency of the device is assessed both in aspiration and infusion; if the device is not to be used at that time, a flushing of the PICC’s lumen is performed with at least 10cc of 0.9% sodium chloride with a pulsating technique. If the device is a Power PICC (non-valved) an instillation of 1.5/2cc of heparinized solution is added.</w:t>
      </w:r>
    </w:p>
    <w:p w14:paraId="6FCF1EE9" w14:textId="77777777" w:rsidR="00FD0E8B" w:rsidRDefault="008151FF" w:rsidP="008151FF">
      <w:pPr>
        <w:spacing w:line="360" w:lineRule="auto"/>
        <w:jc w:val="both"/>
        <w:rPr>
          <w:rFonts w:ascii="Times New Roman" w:hAnsi="Times New Roman" w:cs="Times New Roman"/>
          <w:sz w:val="24"/>
          <w:szCs w:val="24"/>
          <w:lang w:val="en-US"/>
        </w:rPr>
      </w:pPr>
      <w:r w:rsidRPr="002C3A8D">
        <w:rPr>
          <w:rFonts w:ascii="Times New Roman" w:hAnsi="Times New Roman" w:cs="Times New Roman"/>
          <w:sz w:val="24"/>
          <w:szCs w:val="24"/>
          <w:lang w:val="en-US"/>
        </w:rPr>
        <w:t>At least two other pivotal roles are up to the staff who takes care of the PICC. Firstly, there is the surveillance role. The occurrence of any possible PICC-related complication is evaluated and documented, particularly during the dressing procedure. These could involve the exit-site or the surrounding skin, as seen above in case of inflammation, as well as the devise itself. The latter could regard an obstruction, a breakage or a dislocation, a thrombosis or an infection. In these circumstances, a multidisciplinary evaluation is performed and, in case of obstruction or dislocation, an X-ray is taken to control the PICC position. If a dislocation is confirmed, the patient may need to remove the device and furtherly to re-implant another one. Secondly, there is the “distractor” role.</w:t>
      </w:r>
    </w:p>
    <w:p w14:paraId="2D63832A" w14:textId="77777777" w:rsidR="008D4D55" w:rsidRPr="00E12D90" w:rsidRDefault="008D4D55" w:rsidP="008D4D55">
      <w:pPr>
        <w:spacing w:line="360" w:lineRule="auto"/>
        <w:jc w:val="both"/>
        <w:rPr>
          <w:rFonts w:ascii="Times New Roman" w:hAnsi="Times New Roman" w:cs="Times New Roman"/>
          <w:b/>
          <w:sz w:val="24"/>
          <w:szCs w:val="24"/>
          <w:lang w:val="en-US"/>
        </w:rPr>
      </w:pPr>
      <w:r w:rsidRPr="00E12D90">
        <w:rPr>
          <w:rFonts w:ascii="Times New Roman" w:hAnsi="Times New Roman" w:cs="Times New Roman"/>
          <w:b/>
          <w:sz w:val="24"/>
          <w:szCs w:val="24"/>
          <w:lang w:val="en-US"/>
        </w:rPr>
        <w:t>Statistical analysis</w:t>
      </w:r>
    </w:p>
    <w:p w14:paraId="5DABA71E" w14:textId="77777777" w:rsidR="00D32539" w:rsidRDefault="00D32539" w:rsidP="008D4D55">
      <w:pPr>
        <w:spacing w:line="360" w:lineRule="auto"/>
        <w:jc w:val="both"/>
        <w:rPr>
          <w:rFonts w:ascii="Times New Roman" w:hAnsi="Times New Roman" w:cs="Times New Roman"/>
          <w:sz w:val="24"/>
          <w:szCs w:val="24"/>
          <w:highlight w:val="yellow"/>
          <w:lang w:val="en-US"/>
        </w:rPr>
      </w:pPr>
      <w:r w:rsidRPr="00253E79">
        <w:rPr>
          <w:rFonts w:ascii="Times New Roman" w:hAnsi="Times New Roman" w:cs="Times New Roman"/>
          <w:sz w:val="24"/>
          <w:szCs w:val="24"/>
          <w:lang w:val="en-US"/>
        </w:rPr>
        <w:t>Patients included in this study had one or more PICC installation during disease treatment and follow-up and each installation was counted as a new event for the analysis</w:t>
      </w:r>
    </w:p>
    <w:p w14:paraId="1D3700F8" w14:textId="1177A4E0" w:rsidR="008D4D55" w:rsidRPr="001970E8" w:rsidRDefault="008D4D55" w:rsidP="008D4D55">
      <w:pPr>
        <w:spacing w:line="360" w:lineRule="auto"/>
        <w:jc w:val="both"/>
        <w:rPr>
          <w:rFonts w:ascii="Times New Roman" w:hAnsi="Times New Roman" w:cs="Times New Roman"/>
          <w:sz w:val="24"/>
          <w:szCs w:val="24"/>
          <w:lang w:val="en-US"/>
        </w:rPr>
      </w:pPr>
      <w:r w:rsidRPr="001970E8">
        <w:rPr>
          <w:rFonts w:ascii="Times New Roman" w:hAnsi="Times New Roman" w:cs="Times New Roman"/>
          <w:sz w:val="24"/>
          <w:szCs w:val="24"/>
          <w:lang w:val="en-US"/>
        </w:rPr>
        <w:t>The duration of PICCs was expressed as median days (range). The PICC-related complications were retrospectively evaluated in association with type of diagnosis, age, insertion PICC site, type of treatment (Asparaginase, hematopoietic stem cell transplant-HSCT), platelet count, coagulation pro</w:t>
      </w:r>
      <w:r w:rsidR="00A10CC2">
        <w:rPr>
          <w:rFonts w:ascii="Times New Roman" w:hAnsi="Times New Roman" w:cs="Times New Roman"/>
          <w:sz w:val="24"/>
          <w:szCs w:val="24"/>
          <w:lang w:val="en-US"/>
        </w:rPr>
        <w:t>f</w:t>
      </w:r>
      <w:r w:rsidRPr="001970E8">
        <w:rPr>
          <w:rFonts w:ascii="Times New Roman" w:hAnsi="Times New Roman" w:cs="Times New Roman"/>
          <w:sz w:val="24"/>
          <w:szCs w:val="24"/>
          <w:lang w:val="en-US"/>
        </w:rPr>
        <w:t>ile and severe neutropenia (PMN &lt; 0.5x10</w:t>
      </w:r>
      <w:r w:rsidRPr="001970E8">
        <w:rPr>
          <w:rFonts w:ascii="Times New Roman" w:hAnsi="Times New Roman" w:cs="Times New Roman"/>
          <w:sz w:val="24"/>
          <w:szCs w:val="24"/>
          <w:vertAlign w:val="superscript"/>
          <w:lang w:val="en-US"/>
        </w:rPr>
        <w:t>9</w:t>
      </w:r>
      <w:r w:rsidRPr="001970E8">
        <w:rPr>
          <w:rFonts w:ascii="Times New Roman" w:hAnsi="Times New Roman" w:cs="Times New Roman"/>
          <w:sz w:val="24"/>
          <w:szCs w:val="24"/>
          <w:lang w:val="en-US"/>
        </w:rPr>
        <w:t>/L) at the insertion time. The rates of complications were expressed per 1,000 catheter days and/or as a percentage of total PICCs.</w:t>
      </w:r>
    </w:p>
    <w:p w14:paraId="622CE01E" w14:textId="77777777" w:rsidR="008151FF" w:rsidRDefault="008D4D55" w:rsidP="008D4D55">
      <w:pPr>
        <w:spacing w:line="360" w:lineRule="auto"/>
        <w:jc w:val="both"/>
        <w:rPr>
          <w:rFonts w:ascii="Times New Roman" w:hAnsi="Times New Roman" w:cs="Times New Roman"/>
          <w:sz w:val="24"/>
          <w:szCs w:val="24"/>
          <w:lang w:val="en-US"/>
        </w:rPr>
      </w:pPr>
      <w:r w:rsidRPr="001970E8">
        <w:rPr>
          <w:rFonts w:ascii="Times New Roman" w:hAnsi="Times New Roman" w:cs="Times New Roman"/>
          <w:sz w:val="24"/>
          <w:szCs w:val="24"/>
          <w:lang w:val="en-US"/>
        </w:rPr>
        <w:t xml:space="preserve">Univariate and multivariate logistic regression analyses were performed for PICC-related CLABSI, symptomatic CRT and mechanical complications </w:t>
      </w:r>
    </w:p>
    <w:p w14:paraId="6E9EB750" w14:textId="1CC09FB2" w:rsidR="00E12D90" w:rsidRPr="006B0686" w:rsidRDefault="00E12D90" w:rsidP="00E12D90">
      <w:pPr>
        <w:pStyle w:val="NormaleWeb"/>
        <w:shd w:val="clear" w:color="auto" w:fill="FFFFFF"/>
        <w:spacing w:before="0" w:beforeAutospacing="0" w:after="0" w:afterAutospacing="0" w:line="360" w:lineRule="auto"/>
        <w:jc w:val="both"/>
        <w:rPr>
          <w:rFonts w:eastAsiaTheme="minorHAnsi"/>
          <w:lang w:val="en-US" w:eastAsia="en-US"/>
        </w:rPr>
      </w:pPr>
      <w:r w:rsidRPr="006B0686">
        <w:rPr>
          <w:rFonts w:eastAsiaTheme="minorHAnsi"/>
          <w:lang w:val="en-US" w:eastAsia="en-US"/>
        </w:rPr>
        <w:t>Demographic and baseline data including disease characteristics were summarized descriptively. Categorical data were presented as frequencies and percentages. For continuous data, median and range were presented.</w:t>
      </w:r>
    </w:p>
    <w:p w14:paraId="59EB5ECA" w14:textId="77777777" w:rsidR="00E12D90" w:rsidRPr="006B0686" w:rsidRDefault="00E12D90" w:rsidP="00E12D90">
      <w:pPr>
        <w:pStyle w:val="NormaleWeb"/>
        <w:shd w:val="clear" w:color="auto" w:fill="FFFFFF"/>
        <w:spacing w:before="0" w:beforeAutospacing="0" w:after="0" w:afterAutospacing="0" w:line="360" w:lineRule="auto"/>
        <w:jc w:val="both"/>
        <w:rPr>
          <w:rFonts w:eastAsiaTheme="minorHAnsi"/>
          <w:lang w:val="en-US" w:eastAsia="en-US"/>
        </w:rPr>
      </w:pPr>
      <w:r w:rsidRPr="006B0686">
        <w:rPr>
          <w:rFonts w:eastAsiaTheme="minorHAnsi"/>
          <w:lang w:val="en-US" w:eastAsia="en-US"/>
        </w:rPr>
        <w:t>Non-parametric tests were performed for comparisons among groups (Chi-Squared and Fisher Exact test in case of categorical variables or response rate, Mann-Whitney and Kruskal-Wallis test in case of continuous variables). </w:t>
      </w:r>
    </w:p>
    <w:p w14:paraId="35A0466C" w14:textId="3E4EAFB0" w:rsidR="00E12D90" w:rsidRPr="006B0686" w:rsidRDefault="00E12D90" w:rsidP="00E12D90">
      <w:pPr>
        <w:pStyle w:val="NormaleWeb"/>
        <w:shd w:val="clear" w:color="auto" w:fill="FFFFFF"/>
        <w:spacing w:before="0" w:beforeAutospacing="0" w:after="0" w:afterAutospacing="0" w:line="360" w:lineRule="auto"/>
        <w:jc w:val="both"/>
        <w:rPr>
          <w:rFonts w:eastAsiaTheme="minorHAnsi"/>
          <w:lang w:val="en-US" w:eastAsia="en-US"/>
        </w:rPr>
      </w:pPr>
      <w:r w:rsidRPr="006B0686">
        <w:rPr>
          <w:rFonts w:eastAsiaTheme="minorHAnsi"/>
          <w:lang w:val="en-US" w:eastAsia="en-US"/>
        </w:rPr>
        <w:t xml:space="preserve">Odds Ratios (OR) and 95% Confidence Interval </w:t>
      </w:r>
      <w:r w:rsidR="00B602D3">
        <w:rPr>
          <w:rFonts w:eastAsiaTheme="minorHAnsi"/>
          <w:lang w:val="en-US" w:eastAsia="en-US"/>
        </w:rPr>
        <w:t xml:space="preserve">(CI) </w:t>
      </w:r>
      <w:r w:rsidRPr="006B0686">
        <w:rPr>
          <w:rFonts w:eastAsiaTheme="minorHAnsi"/>
          <w:lang w:val="en-US" w:eastAsia="en-US"/>
        </w:rPr>
        <w:t>were reported as parameter results of the logistic regression models. All covariates were evaluated in univariate models and all factors with univariate association within p-value &lt;0.1 were considered in the multivariate models. Backward and stepwise methods were applied to identify the multivariate models with a step-by-step iterative construction that involves the selection of independent variables to be considered in the final model.</w:t>
      </w:r>
    </w:p>
    <w:p w14:paraId="60BA6B4F" w14:textId="77777777" w:rsidR="00E12D90" w:rsidRPr="006B0686" w:rsidRDefault="00E12D90" w:rsidP="00E12D90">
      <w:pPr>
        <w:pStyle w:val="NormaleWeb"/>
        <w:shd w:val="clear" w:color="auto" w:fill="FFFFFF"/>
        <w:spacing w:before="0" w:beforeAutospacing="0" w:after="0" w:afterAutospacing="0" w:line="360" w:lineRule="auto"/>
        <w:jc w:val="both"/>
        <w:rPr>
          <w:rFonts w:eastAsiaTheme="minorHAnsi"/>
          <w:lang w:val="en-US" w:eastAsia="en-US"/>
        </w:rPr>
      </w:pPr>
      <w:r w:rsidRPr="006B0686">
        <w:rPr>
          <w:rFonts w:eastAsiaTheme="minorHAnsi"/>
          <w:lang w:val="en-US" w:eastAsia="en-US"/>
        </w:rPr>
        <w:t>All tests were 2-sided, accepting p&lt;0.05 as indicating a statistically significant difference and confidence intervals were calculated at 95% level. All analysis were performed using the R software (R Core Team (2021). R: A language and environment for statistical computing. R Foundation for Statistical Computing, Vienna, Austria. URL </w:t>
      </w:r>
      <w:hyperlink r:id="rId7" w:tgtFrame="_blank" w:tooltip="https://www.r-project.org/)." w:history="1">
        <w:r w:rsidRPr="006B0686">
          <w:rPr>
            <w:rFonts w:eastAsiaTheme="minorHAnsi"/>
            <w:lang w:eastAsia="en-US"/>
          </w:rPr>
          <w:t>https://www.R-project.org/).</w:t>
        </w:r>
      </w:hyperlink>
    </w:p>
    <w:p w14:paraId="6AB399E0" w14:textId="77777777" w:rsidR="00E12D90" w:rsidRPr="00FD0E8B" w:rsidRDefault="00E12D90" w:rsidP="00E12D90">
      <w:pPr>
        <w:spacing w:line="360" w:lineRule="auto"/>
        <w:jc w:val="both"/>
        <w:rPr>
          <w:b/>
        </w:rPr>
      </w:pPr>
    </w:p>
    <w:sectPr w:rsidR="00E12D90" w:rsidRPr="00FD0E8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it-IT" w:vendorID="64" w:dllVersion="131078" w:nlCheck="1" w:checkStyle="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56F"/>
    <w:rsid w:val="00140641"/>
    <w:rsid w:val="00171C06"/>
    <w:rsid w:val="001970E8"/>
    <w:rsid w:val="001A35A7"/>
    <w:rsid w:val="0025256F"/>
    <w:rsid w:val="004C540E"/>
    <w:rsid w:val="005D637E"/>
    <w:rsid w:val="006953E4"/>
    <w:rsid w:val="008151FF"/>
    <w:rsid w:val="008D4D55"/>
    <w:rsid w:val="00901B9C"/>
    <w:rsid w:val="0094691E"/>
    <w:rsid w:val="009965F3"/>
    <w:rsid w:val="009D1F09"/>
    <w:rsid w:val="00A10CC2"/>
    <w:rsid w:val="00A96812"/>
    <w:rsid w:val="00AA7230"/>
    <w:rsid w:val="00B16F89"/>
    <w:rsid w:val="00B602D3"/>
    <w:rsid w:val="00B850A9"/>
    <w:rsid w:val="00BA5E3F"/>
    <w:rsid w:val="00D32539"/>
    <w:rsid w:val="00D7366F"/>
    <w:rsid w:val="00E12D90"/>
    <w:rsid w:val="00FD0E8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43722"/>
  <w15:chartTrackingRefBased/>
  <w15:docId w15:val="{870A820C-8095-47E8-B14B-2D06A5AFD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151F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12D9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B16F89"/>
    <w:rPr>
      <w:b/>
      <w:bCs/>
    </w:rPr>
  </w:style>
  <w:style w:type="character" w:styleId="Collegamentoipertestuale">
    <w:name w:val="Hyperlink"/>
    <w:basedOn w:val="Carpredefinitoparagrafo"/>
    <w:uiPriority w:val="99"/>
    <w:unhideWhenUsed/>
    <w:rsid w:val="00B16F8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projec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nnamaria.testi@uniroma1.it" TargetMode="External"/><Relationship Id="rId5" Type="http://schemas.openxmlformats.org/officeDocument/2006/relationships/hyperlink" Target="mailto:testi@bce.uniroma1.i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40537-2C58-4B21-9AEB-CD4D62541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1154</Words>
  <Characters>6583</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Maria Testi</dc:creator>
  <cp:keywords/>
  <dc:description/>
  <cp:lastModifiedBy>Anna Maria Testi</cp:lastModifiedBy>
  <cp:revision>6</cp:revision>
  <dcterms:created xsi:type="dcterms:W3CDTF">2022-07-28T14:51:00Z</dcterms:created>
  <dcterms:modified xsi:type="dcterms:W3CDTF">2022-07-29T10:07:00Z</dcterms:modified>
</cp:coreProperties>
</file>