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5C7B" w:rsidRPr="00875C7B" w:rsidRDefault="00875C7B">
      <w:pPr>
        <w:rPr>
          <w:b/>
          <w:bCs/>
        </w:rPr>
      </w:pPr>
    </w:p>
    <w:p w:rsidR="00A847DE" w:rsidRDefault="00A847DE" w:rsidP="00A847DE">
      <w:pPr>
        <w:spacing w:line="360" w:lineRule="auto"/>
      </w:pPr>
      <w:r w:rsidRPr="006F17BB">
        <w:rPr>
          <w:noProof/>
        </w:rPr>
        <w:drawing>
          <wp:inline distT="0" distB="0" distL="0" distR="0" wp14:anchorId="1E7B544F" wp14:editId="7C5E2433">
            <wp:extent cx="5761990" cy="1828800"/>
            <wp:effectExtent l="0" t="0" r="0" b="0"/>
            <wp:docPr id="10" name="Picture 10" descr="C:\Users\bprshop.com\Desktop\Supplementary Figure 1 revis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prshop.com\Desktop\Supplementary Figure 1 revise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77" b="12903"/>
                    <a:stretch/>
                  </pic:blipFill>
                  <pic:spPr bwMode="auto">
                    <a:xfrm>
                      <a:off x="0" y="0"/>
                      <a:ext cx="576199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47DE" w:rsidRPr="006F17BB" w:rsidRDefault="00F90D0F" w:rsidP="00B7413D">
      <w:p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Supplementary Fig.</w:t>
      </w:r>
      <w:r w:rsidR="00A847DE" w:rsidRPr="00163284">
        <w:rPr>
          <w:rFonts w:asciiTheme="majorBidi" w:hAnsiTheme="majorBidi" w:cstheme="majorBidi"/>
          <w:b/>
          <w:bCs/>
        </w:rPr>
        <w:t xml:space="preserve"> 1: Control negative of adipocyte and osteocyte differentiation</w:t>
      </w:r>
      <w:r w:rsidR="00A847DE">
        <w:rPr>
          <w:rFonts w:asciiTheme="majorBidi" w:hAnsiTheme="majorBidi" w:cstheme="majorBidi"/>
          <w:b/>
          <w:bCs/>
        </w:rPr>
        <w:t xml:space="preserve">. </w:t>
      </w:r>
      <w:r w:rsidR="00A847DE" w:rsidRPr="00163284">
        <w:rPr>
          <w:rFonts w:asciiTheme="majorBidi" w:hAnsiTheme="majorBidi" w:cstheme="majorBidi"/>
        </w:rPr>
        <w:t>Parallel to culture of LMCs in adipocyte and osteocyte differentiation medium, some wells were treated with DMEM</w:t>
      </w:r>
      <w:r w:rsidR="00A847DE">
        <w:rPr>
          <w:rFonts w:asciiTheme="majorBidi" w:hAnsiTheme="majorBidi" w:cstheme="majorBidi"/>
        </w:rPr>
        <w:t>, 10% FBS</w:t>
      </w:r>
      <w:r w:rsidR="00A847DE" w:rsidRPr="00163284">
        <w:rPr>
          <w:rFonts w:asciiTheme="majorBidi" w:hAnsiTheme="majorBidi" w:cstheme="majorBidi"/>
        </w:rPr>
        <w:t xml:space="preserve"> as negative control</w:t>
      </w:r>
      <w:r w:rsidR="00A847DE">
        <w:rPr>
          <w:rFonts w:asciiTheme="majorBidi" w:hAnsiTheme="majorBidi" w:cstheme="majorBidi"/>
        </w:rPr>
        <w:t xml:space="preserve">. </w:t>
      </w:r>
      <w:r w:rsidR="00A847DE" w:rsidRPr="006F17BB">
        <w:rPr>
          <w:rFonts w:asciiTheme="majorBidi" w:hAnsiTheme="majorBidi" w:cstheme="majorBidi"/>
        </w:rPr>
        <w:t xml:space="preserve">Spheroid formation did not happen in the negative control tube of chondrocyte differentiation, and thus no image is available. </w:t>
      </w:r>
    </w:p>
    <w:sectPr w:rsidR="00A847DE" w:rsidRPr="006F17BB" w:rsidSect="00D3292A">
      <w:pgSz w:w="12240" w:h="15840"/>
      <w:pgMar w:top="15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7DE"/>
    <w:rsid w:val="007B2061"/>
    <w:rsid w:val="00875C7B"/>
    <w:rsid w:val="008768BD"/>
    <w:rsid w:val="00A847DE"/>
    <w:rsid w:val="00B7413D"/>
    <w:rsid w:val="00D3292A"/>
    <w:rsid w:val="00F90D0F"/>
    <w:rsid w:val="00FC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BA08C"/>
  <w15:chartTrackingRefBased/>
  <w15:docId w15:val="{D24A65C1-9640-45EA-B0BB-C9E3B9386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rezvan adibi</cp:lastModifiedBy>
  <cp:revision>4</cp:revision>
  <dcterms:created xsi:type="dcterms:W3CDTF">2022-01-22T08:44:00Z</dcterms:created>
  <dcterms:modified xsi:type="dcterms:W3CDTF">2022-07-21T11:55:00Z</dcterms:modified>
</cp:coreProperties>
</file>