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W w:w="9169" w:type="dxa"/>
        <w:tblInd w:w="-522" w:type="dxa"/>
        <w:tblLook w:val="04A0" w:firstRow="1" w:lastRow="0" w:firstColumn="1" w:lastColumn="0" w:noHBand="0" w:noVBand="1"/>
      </w:tblPr>
      <w:tblGrid>
        <w:gridCol w:w="1384"/>
        <w:gridCol w:w="1559"/>
        <w:gridCol w:w="874"/>
        <w:gridCol w:w="1559"/>
        <w:gridCol w:w="874"/>
        <w:gridCol w:w="1559"/>
        <w:gridCol w:w="1360"/>
      </w:tblGrid>
      <w:tr w:rsidR="004C0A7B" w:rsidRPr="000B69DF" w:rsidTr="00FA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  <w:gridSpan w:val="7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widowControl w:val="0"/>
              <w:spacing w:beforeLines="0" w:before="0" w:line="240" w:lineRule="auto"/>
              <w:rPr>
                <w:rFonts w:cs="Times New Roman"/>
                <w:szCs w:val="20"/>
              </w:rPr>
            </w:pPr>
            <w:bookmarkStart w:id="0" w:name="_Hlk101504936"/>
            <w:r w:rsidRPr="000B69DF">
              <w:rPr>
                <w:rFonts w:cs="Times New Roman"/>
                <w:kern w:val="0"/>
                <w:szCs w:val="20"/>
              </w:rPr>
              <w:t>Table S1. Univariate analysis of the different cut-off values of AST, ALP and TBIL for adverse outcome-free survival in entire cohort.</w:t>
            </w:r>
            <w:bookmarkEnd w:id="0"/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kern w:val="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kern w:val="0"/>
                <w:szCs w:val="20"/>
              </w:rPr>
              <w:t>At 1 month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kern w:val="0"/>
                <w:szCs w:val="20"/>
              </w:rPr>
              <w:t>At 3 months</w:t>
            </w:r>
          </w:p>
        </w:tc>
        <w:tc>
          <w:tcPr>
            <w:tcW w:w="2755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kern w:val="0"/>
                <w:szCs w:val="20"/>
              </w:rPr>
              <w:t>At 6 months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0"/>
              </w:rPr>
            </w:pPr>
            <w:r w:rsidRPr="000B69DF">
              <w:rPr>
                <w:rFonts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Cs w:val="20"/>
              </w:rPr>
            </w:pPr>
            <w:r w:rsidRPr="000B69DF">
              <w:rPr>
                <w:rFonts w:cs="Times New Roman"/>
                <w:b/>
                <w:bCs/>
                <w:i/>
                <w:iCs/>
                <w:kern w:val="0"/>
                <w:szCs w:val="20"/>
              </w:rPr>
              <w:t>p</w:t>
            </w:r>
            <w:r w:rsidRPr="000B69DF">
              <w:rPr>
                <w:rFonts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i/>
                <w:iCs/>
                <w:kern w:val="0"/>
                <w:szCs w:val="20"/>
              </w:rPr>
              <w:t>p</w:t>
            </w:r>
            <w:r w:rsidRPr="000B69DF">
              <w:rPr>
                <w:rFonts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12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cs="Times New Roman"/>
                <w:b/>
                <w:bCs/>
                <w:i/>
                <w:iCs/>
                <w:kern w:val="0"/>
                <w:szCs w:val="20"/>
              </w:rPr>
              <w:t>p</w:t>
            </w:r>
            <w:r w:rsidRPr="000B69DF">
              <w:rPr>
                <w:rFonts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  <w:gridSpan w:val="7"/>
            <w:tcBorders>
              <w:top w:val="single" w:sz="8" w:space="0" w:color="auto"/>
            </w:tcBorders>
            <w:shd w:val="clear" w:color="auto" w:fill="DDEBF7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rPr>
                <w:rFonts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ALP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≤1.5×ULN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szCs w:val="20"/>
              </w:rPr>
              <w:t>2.82(1.55-5.15)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2.51(1.47-4.29)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2.48(1.38-4.45)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.01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≤1.67×ULN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szCs w:val="20"/>
              </w:rPr>
              <w:t>2.74(1.55-4.86)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2.69(1.58-4.59)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2.48(1.40-4.40)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.01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≤2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szCs w:val="20"/>
              </w:rPr>
              <w:t>2.44(1.41-4.21)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2.78(1.64-4.69)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2.48(1.4-4.37)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.01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≤2.5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szCs w:val="20"/>
              </w:rPr>
              <w:t>2.72(1.57-4.72)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2.36(1.36-4.08)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1.97(1.02-3.79)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.05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≤3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szCs w:val="20"/>
              </w:rPr>
              <w:t>1.99(1.09-3.63)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2.93(1.66-5.19)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1.16(0.49-2.73)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0.73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  <w:gridSpan w:val="7"/>
            <w:shd w:val="clear" w:color="auto" w:fill="DDEBF7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rPr>
                <w:rFonts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kern w:val="0"/>
                <w:szCs w:val="20"/>
              </w:rPr>
              <w:t>AST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≤1.5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2.59(1.50-4.48)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3.94(2.30-6.76)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2.69(1.53-4.72)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≤2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2.16(1.21-3.87)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2.88(1.65-5.02)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2.22(1.18-4.20)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.05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≤2.5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1.42(0.61-3.34)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1.91(0.90-4.05)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1.58(0.67-3.74)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0.29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≤3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1.61(0.50-5.18)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1.09(0.34-3.49)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1.79(0.55-5.76)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0.33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  <w:gridSpan w:val="7"/>
            <w:shd w:val="clear" w:color="auto" w:fill="DDEBF7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rPr>
                <w:rFonts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kern w:val="0"/>
                <w:szCs w:val="20"/>
              </w:rPr>
              <w:t>TBIL</w:t>
            </w:r>
          </w:p>
        </w:tc>
      </w:tr>
      <w:tr w:rsidR="004C0A7B" w:rsidRPr="000B69DF" w:rsidTr="00FA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ind w:firstLineChars="50" w:firstLine="100"/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≤1</w:t>
            </w:r>
            <w:r w:rsidRPr="000B69DF">
              <w:rPr>
                <w:rFonts w:cs="Times New Roman"/>
                <w:b w:val="0"/>
                <w:bCs w:val="0"/>
                <w:iCs/>
                <w:kern w:val="0"/>
                <w:szCs w:val="20"/>
              </w:rPr>
              <w:t>×</w:t>
            </w:r>
            <w:r w:rsidRPr="000B69DF">
              <w:rPr>
                <w:rFonts w:eastAsia="Times New Roman" w:cs="Times New Roman"/>
                <w:b w:val="0"/>
                <w:bCs w:val="0"/>
                <w:kern w:val="0"/>
                <w:szCs w:val="20"/>
              </w:rPr>
              <w:t>ULN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5.5(3.02-10.04)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2.95(1.74-5.01)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szCs w:val="20"/>
              </w:rPr>
              <w:t>3.42(1.95-6.03)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0"/>
                <w:szCs w:val="20"/>
              </w:rPr>
            </w:pPr>
            <w:r w:rsidRPr="000B69DF">
              <w:rPr>
                <w:rFonts w:cs="Times New Roman"/>
                <w:kern w:val="0"/>
                <w:szCs w:val="20"/>
              </w:rPr>
              <w:t>＜</w:t>
            </w:r>
            <w:r w:rsidRPr="000B69DF">
              <w:rPr>
                <w:rFonts w:cs="Times New Roman"/>
                <w:kern w:val="0"/>
                <w:szCs w:val="20"/>
              </w:rPr>
              <w:t>.001</w:t>
            </w:r>
          </w:p>
        </w:tc>
      </w:tr>
      <w:tr w:rsidR="004C0A7B" w:rsidRPr="000B69DF" w:rsidTr="00FA5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0A7B" w:rsidRPr="000B69DF" w:rsidRDefault="004C0A7B" w:rsidP="00FA50FA">
            <w:pPr>
              <w:spacing w:beforeLines="0" w:before="0" w:line="240" w:lineRule="auto"/>
              <w:jc w:val="left"/>
              <w:rPr>
                <w:rFonts w:cs="Times New Roman"/>
                <w:b w:val="0"/>
                <w:bCs w:val="0"/>
                <w:kern w:val="0"/>
                <w:szCs w:val="20"/>
              </w:rPr>
            </w:pPr>
            <w:r w:rsidRPr="000B69DF">
              <w:rPr>
                <w:rFonts w:cs="Times New Roman"/>
                <w:iCs/>
                <w:kern w:val="0"/>
                <w:szCs w:val="20"/>
              </w:rPr>
              <w:t xml:space="preserve">ULN, upper limit of normal; HR, hazard ratio; </w:t>
            </w:r>
            <w:r w:rsidRPr="000B69DF">
              <w:rPr>
                <w:rFonts w:cs="Times New Roman"/>
                <w:i/>
                <w:kern w:val="0"/>
                <w:szCs w:val="20"/>
              </w:rPr>
              <w:t>p</w:t>
            </w:r>
            <w:r w:rsidRPr="000B69DF">
              <w:rPr>
                <w:rFonts w:cs="Times New Roman"/>
                <w:iCs/>
                <w:kern w:val="0"/>
                <w:szCs w:val="20"/>
              </w:rPr>
              <w:t xml:space="preserve"> </w:t>
            </w:r>
            <w:r w:rsidRPr="000B69DF">
              <w:rPr>
                <w:rFonts w:cs="Times New Roman"/>
                <w:i/>
                <w:kern w:val="0"/>
                <w:szCs w:val="20"/>
              </w:rPr>
              <w:t>values</w:t>
            </w:r>
            <w:r w:rsidRPr="000B69DF">
              <w:rPr>
                <w:rFonts w:cs="Times New Roman"/>
                <w:kern w:val="0"/>
                <w:szCs w:val="20"/>
              </w:rPr>
              <w:t xml:space="preserve"> are based on the Cox regression analysis</w:t>
            </w:r>
          </w:p>
        </w:tc>
      </w:tr>
    </w:tbl>
    <w:p w:rsidR="004C0A7B" w:rsidRPr="000B69DF" w:rsidRDefault="004C0A7B" w:rsidP="004C0A7B">
      <w:pPr>
        <w:spacing w:beforeLines="400" w:before="960"/>
        <w:jc w:val="left"/>
        <w:rPr>
          <w:rFonts w:eastAsia="SimSun" w:cs="Times New Roman"/>
          <w:kern w:val="0"/>
          <w:szCs w:val="20"/>
        </w:rPr>
      </w:pPr>
    </w:p>
    <w:p w:rsidR="004C0A7B" w:rsidRPr="000B69DF" w:rsidRDefault="004C0A7B" w:rsidP="004C0A7B">
      <w:pPr>
        <w:spacing w:beforeLines="0" w:before="0" w:line="240" w:lineRule="auto"/>
        <w:jc w:val="left"/>
        <w:rPr>
          <w:rFonts w:eastAsia="SimSun" w:cs="Times New Roman"/>
          <w:kern w:val="0"/>
          <w:szCs w:val="20"/>
        </w:rPr>
      </w:pPr>
      <w:r w:rsidRPr="000B69DF">
        <w:rPr>
          <w:rFonts w:eastAsia="SimSun" w:cs="Times New Roman"/>
          <w:kern w:val="0"/>
          <w:szCs w:val="20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5"/>
        <w:gridCol w:w="1245"/>
        <w:gridCol w:w="1245"/>
        <w:gridCol w:w="1245"/>
        <w:gridCol w:w="1245"/>
        <w:gridCol w:w="1244"/>
        <w:gridCol w:w="1241"/>
      </w:tblGrid>
      <w:tr w:rsidR="004C0A7B" w:rsidRPr="000B69DF" w:rsidTr="00FA50FA">
        <w:trPr>
          <w:trHeight w:val="56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rPr>
                <w:rFonts w:eastAsia="Times New Roma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lastRenderedPageBreak/>
              <w:t>Table S2. Performance of biochemical response for prediction of long-term outcome.</w:t>
            </w:r>
          </w:p>
        </w:tc>
      </w:tr>
      <w:tr w:rsidR="004C0A7B" w:rsidRPr="000B69DF" w:rsidTr="00FA50FA">
        <w:trPr>
          <w:trHeight w:val="525"/>
        </w:trPr>
        <w:tc>
          <w:tcPr>
            <w:tcW w:w="10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Response definition</w:t>
            </w:r>
          </w:p>
        </w:tc>
        <w:tc>
          <w:tcPr>
            <w:tcW w:w="6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Sensitivity</w:t>
            </w:r>
          </w:p>
        </w:tc>
        <w:tc>
          <w:tcPr>
            <w:tcW w:w="6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Specificity</w:t>
            </w:r>
          </w:p>
        </w:tc>
        <w:tc>
          <w:tcPr>
            <w:tcW w:w="6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PPV</w:t>
            </w:r>
          </w:p>
        </w:tc>
        <w:tc>
          <w:tcPr>
            <w:tcW w:w="6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NPV</w:t>
            </w:r>
          </w:p>
        </w:tc>
        <w:tc>
          <w:tcPr>
            <w:tcW w:w="6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PLR</w:t>
            </w:r>
          </w:p>
        </w:tc>
        <w:tc>
          <w:tcPr>
            <w:tcW w:w="6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b/>
                <w:bCs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NLR</w:t>
            </w:r>
          </w:p>
        </w:tc>
      </w:tr>
      <w:tr w:rsidR="004C0A7B" w:rsidRPr="000B69DF" w:rsidTr="00FA50FA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Training cohort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Xi’an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0.61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0.82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0.96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3.48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0.47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auto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Barcelona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0.15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0.73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Paris-Ⅰ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2.31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0.39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auto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Paris-Ⅱ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0.17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2.80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0.63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Rotterdam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2.21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0.44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auto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Rochester-Ⅱ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0.39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1.34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0.47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Ehime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0.48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0.81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0.95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0.16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2.57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0.64</w:t>
            </w:r>
          </w:p>
        </w:tc>
      </w:tr>
      <w:tr w:rsidR="004C0A7B" w:rsidRPr="000B69DF" w:rsidTr="00FA50FA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rPr>
                <w:rFonts w:eastAsia="Times New Roma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b/>
                <w:bCs/>
                <w:kern w:val="0"/>
                <w:szCs w:val="20"/>
              </w:rPr>
              <w:t>Validation cohort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Xi’an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0.60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0.83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0.96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0.23</w:t>
            </w:r>
          </w:p>
        </w:tc>
        <w:tc>
          <w:tcPr>
            <w:tcW w:w="664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3.59</w:t>
            </w: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0.48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auto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Barcelona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1.27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0.59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Paris-Ⅰ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1.74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0.51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auto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Paris-Ⅱ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0.17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0.73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Rotterdam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1.75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0.56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right w:val="nil"/>
            </w:tcBorders>
            <w:shd w:val="clear" w:color="auto" w:fill="auto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Rochester-Ⅱ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0.28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1.40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0.40</w:t>
            </w:r>
          </w:p>
        </w:tc>
      </w:tr>
      <w:tr w:rsidR="004C0A7B" w:rsidRPr="000B69DF" w:rsidTr="00FA50FA">
        <w:trPr>
          <w:trHeight w:val="270"/>
        </w:trPr>
        <w:tc>
          <w:tcPr>
            <w:tcW w:w="1018" w:type="pct"/>
            <w:tcBorders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hideMark/>
          </w:tcPr>
          <w:p w:rsidR="004C0A7B" w:rsidRPr="000B69DF" w:rsidRDefault="004C0A7B" w:rsidP="00FA50FA">
            <w:pPr>
              <w:spacing w:beforeLines="0" w:before="0" w:line="240" w:lineRule="auto"/>
              <w:ind w:firstLineChars="100" w:firstLine="200"/>
              <w:jc w:val="left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Ehime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vAlign w:val="bottom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0.44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vAlign w:val="bottom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0.60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vAlign w:val="bottom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0.89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vAlign w:val="bottom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0.13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vAlign w:val="bottom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1.09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vAlign w:val="bottom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center"/>
              <w:rPr>
                <w:rFonts w:eastAsia="SimSun" w:cs="Times New Roman"/>
                <w:kern w:val="0"/>
                <w:szCs w:val="20"/>
              </w:rPr>
            </w:pPr>
            <w:r w:rsidRPr="000B69DF">
              <w:rPr>
                <w:rFonts w:eastAsia="SimSun" w:cs="Times New Roman"/>
                <w:kern w:val="0"/>
                <w:szCs w:val="20"/>
              </w:rPr>
              <w:t>0.94</w:t>
            </w:r>
          </w:p>
        </w:tc>
      </w:tr>
      <w:tr w:rsidR="004C0A7B" w:rsidRPr="000B69DF" w:rsidTr="00FA50FA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0A7B" w:rsidRPr="000B69DF" w:rsidRDefault="004C0A7B" w:rsidP="00FA50FA">
            <w:pPr>
              <w:spacing w:beforeLines="0" w:before="0" w:line="240" w:lineRule="auto"/>
              <w:jc w:val="left"/>
              <w:rPr>
                <w:rFonts w:eastAsia="SimSun" w:cs="Times New Roman"/>
                <w:szCs w:val="20"/>
              </w:rPr>
            </w:pPr>
            <w:r w:rsidRPr="000B69DF">
              <w:rPr>
                <w:rFonts w:eastAsia="SimSun" w:cs="Times New Roman"/>
                <w:i/>
                <w:szCs w:val="20"/>
              </w:rPr>
              <w:t>Note:</w:t>
            </w:r>
            <w:r w:rsidRPr="000B69DF">
              <w:rPr>
                <w:rFonts w:eastAsia="SimSun" w:cs="Times New Roman"/>
                <w:szCs w:val="20"/>
              </w:rPr>
              <w:t xml:space="preserve"> Biochemical complete response was considered as a positive biochemical test without adverse outcome as an event. </w:t>
            </w:r>
          </w:p>
          <w:p w:rsidR="004C0A7B" w:rsidRPr="000B69DF" w:rsidRDefault="004C0A7B" w:rsidP="00FA50FA">
            <w:pPr>
              <w:spacing w:beforeLines="0" w:before="0" w:line="240" w:lineRule="auto"/>
              <w:jc w:val="left"/>
              <w:rPr>
                <w:rFonts w:eastAsia="SimSun" w:cs="Times New Roman"/>
                <w:iCs/>
                <w:szCs w:val="20"/>
              </w:rPr>
            </w:pPr>
            <w:r w:rsidRPr="000B69DF">
              <w:rPr>
                <w:rFonts w:eastAsia="SimSun" w:cs="Times New Roman"/>
                <w:iCs/>
                <w:szCs w:val="20"/>
              </w:rPr>
              <w:t>PPV, positive predictive values; NPV, negative predictive values; PLR, positive likelihood ratios; NLR, negative likelihood ratios;</w:t>
            </w:r>
          </w:p>
        </w:tc>
      </w:tr>
    </w:tbl>
    <w:p w:rsidR="004C0A7B" w:rsidRPr="000B69DF" w:rsidRDefault="004C0A7B" w:rsidP="004C0A7B">
      <w:pPr>
        <w:spacing w:beforeLines="400" w:before="960"/>
        <w:jc w:val="left"/>
        <w:rPr>
          <w:rFonts w:eastAsia="SimSun" w:cs="Times New Roman"/>
          <w:kern w:val="0"/>
          <w:szCs w:val="20"/>
        </w:rPr>
      </w:pPr>
    </w:p>
    <w:p w:rsidR="004C0A7B" w:rsidRPr="000B69DF" w:rsidRDefault="004C0A7B" w:rsidP="004C0A7B">
      <w:pPr>
        <w:spacing w:beforeLines="0" w:before="0" w:line="240" w:lineRule="auto"/>
        <w:jc w:val="left"/>
        <w:rPr>
          <w:rFonts w:eastAsia="SimSun" w:cs="Times New Roman"/>
          <w:kern w:val="0"/>
          <w:szCs w:val="20"/>
        </w:rPr>
      </w:pPr>
      <w:r w:rsidRPr="000B69DF">
        <w:rPr>
          <w:rFonts w:eastAsia="SimSun" w:cs="Times New Roman"/>
          <w:kern w:val="0"/>
          <w:szCs w:val="20"/>
        </w:rPr>
        <w:br w:type="page"/>
      </w:r>
    </w:p>
    <w:p w:rsidR="007F07F1" w:rsidRDefault="007F07F1">
      <w:pPr>
        <w:spacing w:before="360"/>
      </w:pPr>
      <w:bookmarkStart w:id="1" w:name="_GoBack"/>
      <w:bookmarkEnd w:id="1"/>
    </w:p>
    <w:sectPr w:rsidR="007F0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7B"/>
    <w:rsid w:val="004C0A7B"/>
    <w:rsid w:val="007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260D0-2109-4BE8-96EE-E9F7FE4E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A7B"/>
    <w:pPr>
      <w:spacing w:beforeLines="150" w:before="150" w:after="0" w:line="480" w:lineRule="auto"/>
      <w:jc w:val="both"/>
    </w:pPr>
    <w:rPr>
      <w:rFonts w:ascii="Times New Roman" w:eastAsia="DengXian" w:hAnsi="Times New Roman"/>
      <w:kern w:val="2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4C0A7B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1774</Characters>
  <Application>Microsoft Office Word</Application>
  <DocSecurity>0</DocSecurity>
  <Lines>14</Lines>
  <Paragraphs>4</Paragraphs>
  <ScaleCrop>false</ScaleCrop>
  <Company>Springer Nature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2022-08-09T07:00:00Z</dcterms:created>
  <dcterms:modified xsi:type="dcterms:W3CDTF">2022-08-09T07:00:00Z</dcterms:modified>
</cp:coreProperties>
</file>