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8928E" w14:textId="72C3475B" w:rsidR="003C09F1" w:rsidRDefault="003C09F1" w:rsidP="003C09F1">
      <w:pPr>
        <w:rPr>
          <w:rFonts w:ascii="Times New Roman" w:hAnsi="Times New Roman" w:cs="Times New Roman"/>
          <w:sz w:val="22"/>
          <w:szCs w:val="24"/>
        </w:rPr>
      </w:pPr>
      <w:r>
        <w:rPr>
          <w:noProof/>
        </w:rPr>
        <w:drawing>
          <wp:inline distT="0" distB="0" distL="0" distR="0" wp14:anchorId="29B6D41D" wp14:editId="60690465">
            <wp:extent cx="5274310" cy="502856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2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AD0C9" w14:textId="3426D746" w:rsidR="003C09F1" w:rsidRPr="003C09F1" w:rsidRDefault="003C09F1" w:rsidP="003C09F1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3C09F1">
        <w:rPr>
          <w:rFonts w:ascii="Times New Roman" w:hAnsi="Times New Roman" w:cs="Times New Roman" w:hint="eastAsia"/>
          <w:b/>
          <w:bCs/>
          <w:sz w:val="24"/>
          <w:szCs w:val="28"/>
        </w:rPr>
        <w:t>F</w:t>
      </w:r>
      <w:r w:rsidRPr="003C09F1">
        <w:rPr>
          <w:rFonts w:ascii="Times New Roman" w:hAnsi="Times New Roman" w:cs="Times New Roman"/>
          <w:b/>
          <w:bCs/>
          <w:sz w:val="24"/>
          <w:szCs w:val="28"/>
        </w:rPr>
        <w:t>igure S1</w:t>
      </w:r>
      <w:r w:rsidRPr="003C09F1">
        <w:rPr>
          <w:rFonts w:ascii="Times New Roman" w:hAnsi="Times New Roman" w:cs="Times New Roman"/>
          <w:sz w:val="24"/>
          <w:szCs w:val="28"/>
        </w:rPr>
        <w:t xml:space="preserve"> Representative flow cytometric graphs in U937-TR and U937-PR exhibiting apoptosis and differentiation level with the administration of different drugs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531B2F2C" w14:textId="3686954F" w:rsidR="003C09F1" w:rsidRPr="003C09F1" w:rsidRDefault="003C09F1" w:rsidP="003C09F1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3C09F1">
        <w:rPr>
          <w:rFonts w:ascii="Times New Roman" w:hAnsi="Times New Roman" w:cs="Times New Roman" w:hint="eastAsia"/>
          <w:sz w:val="24"/>
          <w:szCs w:val="28"/>
        </w:rPr>
        <w:t>(</w:t>
      </w:r>
      <w:r w:rsidRPr="003C09F1">
        <w:rPr>
          <w:rFonts w:ascii="Times New Roman" w:hAnsi="Times New Roman" w:cs="Times New Roman"/>
          <w:sz w:val="24"/>
          <w:szCs w:val="28"/>
        </w:rPr>
        <w:t>A)</w:t>
      </w:r>
      <w:r w:rsidRPr="003C09F1">
        <w:rPr>
          <w:sz w:val="22"/>
          <w:szCs w:val="24"/>
        </w:rPr>
        <w:t xml:space="preserve"> </w:t>
      </w:r>
      <w:r w:rsidRPr="003C09F1">
        <w:rPr>
          <w:rFonts w:ascii="Times New Roman" w:hAnsi="Times New Roman" w:cs="Times New Roman"/>
          <w:sz w:val="24"/>
          <w:szCs w:val="28"/>
        </w:rPr>
        <w:t>Flow cytometry analysis of Annexin V and PI staining revealed the quantity of cells in the period of early apoptosis (Q2-4: Annexin V</w:t>
      </w:r>
      <w:r w:rsidRPr="003C09F1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3C09F1">
        <w:rPr>
          <w:rFonts w:ascii="Times New Roman" w:hAnsi="Times New Roman" w:cs="Times New Roman"/>
          <w:sz w:val="24"/>
          <w:szCs w:val="28"/>
        </w:rPr>
        <w:t>/PI</w:t>
      </w:r>
      <w:r w:rsidRPr="003C09F1">
        <w:rPr>
          <w:rFonts w:ascii="Times New Roman" w:hAnsi="Times New Roman" w:cs="Times New Roman"/>
          <w:sz w:val="24"/>
          <w:szCs w:val="28"/>
          <w:vertAlign w:val="superscript"/>
        </w:rPr>
        <w:t>−</w:t>
      </w:r>
      <w:r w:rsidRPr="003C09F1">
        <w:rPr>
          <w:rFonts w:ascii="Times New Roman" w:hAnsi="Times New Roman" w:cs="Times New Roman"/>
          <w:sz w:val="24"/>
          <w:szCs w:val="28"/>
        </w:rPr>
        <w:t>) and late apoptosis (Q2-2: Annexin V</w:t>
      </w:r>
      <w:r w:rsidRPr="003C09F1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3C09F1">
        <w:rPr>
          <w:rFonts w:ascii="Times New Roman" w:hAnsi="Times New Roman" w:cs="Times New Roman"/>
          <w:sz w:val="24"/>
          <w:szCs w:val="28"/>
        </w:rPr>
        <w:t>/PI</w:t>
      </w:r>
      <w:r w:rsidRPr="003C09F1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3C09F1">
        <w:rPr>
          <w:rFonts w:ascii="Times New Roman" w:hAnsi="Times New Roman" w:cs="Times New Roman"/>
          <w:sz w:val="24"/>
          <w:szCs w:val="28"/>
        </w:rPr>
        <w:t>).</w:t>
      </w:r>
      <w:r w:rsidRPr="003C09F1">
        <w:rPr>
          <w:rFonts w:ascii="Times New Roman" w:hAnsi="Times New Roman" w:cs="Times New Roman" w:hint="eastAsia"/>
          <w:sz w:val="24"/>
          <w:szCs w:val="28"/>
        </w:rPr>
        <w:t xml:space="preserve"> (</w:t>
      </w:r>
      <w:r w:rsidRPr="003C09F1">
        <w:rPr>
          <w:rFonts w:ascii="Times New Roman" w:hAnsi="Times New Roman" w:cs="Times New Roman"/>
          <w:sz w:val="24"/>
          <w:szCs w:val="28"/>
        </w:rPr>
        <w:t>B) Flow cytometry analysis of myeloid differentiation marker CD11b showed the percentage of differentiated cells induced by different drugs.</w:t>
      </w:r>
    </w:p>
    <w:p w14:paraId="66FABD62" w14:textId="06262CDE" w:rsidR="00A75F28" w:rsidRDefault="00A75F28"/>
    <w:sectPr w:rsidR="00A75F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CB500" w14:textId="77777777" w:rsidR="008D48F5" w:rsidRDefault="008D48F5" w:rsidP="003C09F1">
      <w:r>
        <w:separator/>
      </w:r>
    </w:p>
  </w:endnote>
  <w:endnote w:type="continuationSeparator" w:id="0">
    <w:p w14:paraId="7E3CFFEA" w14:textId="77777777" w:rsidR="008D48F5" w:rsidRDefault="008D48F5" w:rsidP="003C0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E6F81" w14:textId="77777777" w:rsidR="008D48F5" w:rsidRDefault="008D48F5" w:rsidP="003C09F1">
      <w:r>
        <w:separator/>
      </w:r>
    </w:p>
  </w:footnote>
  <w:footnote w:type="continuationSeparator" w:id="0">
    <w:p w14:paraId="328D6EEF" w14:textId="77777777" w:rsidR="008D48F5" w:rsidRDefault="008D48F5" w:rsidP="003C09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7D5"/>
    <w:rsid w:val="003C09F1"/>
    <w:rsid w:val="003F07D5"/>
    <w:rsid w:val="008D48F5"/>
    <w:rsid w:val="00A7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B1F53"/>
  <w15:chartTrackingRefBased/>
  <w15:docId w15:val="{D5B958E9-F2C2-4F85-AFFA-521847C7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9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09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09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09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雪</dc:creator>
  <cp:keywords/>
  <dc:description/>
  <cp:lastModifiedBy>杨 雪</cp:lastModifiedBy>
  <cp:revision>2</cp:revision>
  <dcterms:created xsi:type="dcterms:W3CDTF">2022-04-21T07:50:00Z</dcterms:created>
  <dcterms:modified xsi:type="dcterms:W3CDTF">2022-04-21T07:51:00Z</dcterms:modified>
</cp:coreProperties>
</file>