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44AC1" w14:textId="45EE3951" w:rsidR="00F21FEF" w:rsidRPr="00F21FEF" w:rsidRDefault="00275859" w:rsidP="00601CED">
      <w:pPr>
        <w:widowControl/>
        <w:jc w:val="left"/>
        <w:rPr>
          <w:rFonts w:ascii="Times New Roman" w:eastAsia="ＭＳ 明朝" w:hAnsi="Times New Roman" w:cs="Times New Roman"/>
          <w:b/>
          <w:bCs/>
          <w:color w:val="000000" w:themeColor="text1"/>
          <w:kern w:val="0"/>
          <w:sz w:val="24"/>
          <w:szCs w:val="24"/>
          <w:lang w:val="en-AU"/>
        </w:rPr>
      </w:pPr>
      <w:r w:rsidRPr="00275859">
        <w:rPr>
          <w:rFonts w:ascii="Times New Roman" w:eastAsia="ＭＳ 明朝" w:hAnsi="Times New Roman" w:cs="Times New Roman"/>
          <w:b/>
          <w:bCs/>
          <w:color w:val="000000" w:themeColor="text1"/>
          <w:kern w:val="0"/>
          <w:sz w:val="24"/>
          <w:szCs w:val="24"/>
          <w:lang w:val="en-AU"/>
        </w:rPr>
        <w:t xml:space="preserve">Supplementary </w:t>
      </w:r>
      <w:r w:rsidR="00F21FEF" w:rsidRPr="00F21FEF">
        <w:rPr>
          <w:rFonts w:ascii="Times New Roman" w:eastAsia="ＭＳ 明朝" w:hAnsi="Times New Roman" w:cs="Times New Roman"/>
          <w:b/>
          <w:bCs/>
          <w:color w:val="000000" w:themeColor="text1"/>
          <w:kern w:val="0"/>
          <w:sz w:val="24"/>
          <w:szCs w:val="24"/>
          <w:lang w:val="en-AU"/>
        </w:rPr>
        <w:t xml:space="preserve">Table </w:t>
      </w:r>
      <w:r w:rsidR="00641C87">
        <w:rPr>
          <w:rFonts w:ascii="Times New Roman" w:eastAsia="ＭＳ 明朝" w:hAnsi="Times New Roman" w:cs="Times New Roman"/>
          <w:b/>
          <w:bCs/>
          <w:color w:val="000000" w:themeColor="text1"/>
          <w:kern w:val="0"/>
          <w:sz w:val="24"/>
          <w:szCs w:val="24"/>
          <w:lang w:val="en-AU"/>
        </w:rPr>
        <w:t>S</w:t>
      </w:r>
      <w:r w:rsidR="00F21FEF" w:rsidRPr="00F21FEF">
        <w:rPr>
          <w:rFonts w:ascii="Times New Roman" w:eastAsia="ＭＳ 明朝" w:hAnsi="Times New Roman" w:cs="Times New Roman"/>
          <w:b/>
          <w:bCs/>
          <w:color w:val="000000" w:themeColor="text1"/>
          <w:kern w:val="0"/>
          <w:sz w:val="24"/>
          <w:szCs w:val="24"/>
          <w:lang w:val="en-AU"/>
        </w:rPr>
        <w:t xml:space="preserve">2. </w:t>
      </w:r>
      <w:bookmarkStart w:id="0" w:name="_Hlk98082267"/>
      <w:bookmarkStart w:id="1" w:name="_Hlk109973005"/>
      <w:r w:rsidR="00F21FEF" w:rsidRPr="00F21FEF">
        <w:rPr>
          <w:rFonts w:ascii="Times New Roman" w:eastAsia="ＭＳ 明朝" w:hAnsi="Times New Roman" w:cs="Times New Roman"/>
          <w:b/>
          <w:color w:val="000000" w:themeColor="text1"/>
          <w:kern w:val="0"/>
          <w:sz w:val="24"/>
          <w:szCs w:val="24"/>
          <w:lang w:val="en-AU"/>
        </w:rPr>
        <w:t>Antibiotic susceptibility</w:t>
      </w:r>
      <w:bookmarkEnd w:id="0"/>
      <w:r w:rsidR="00F21FEF" w:rsidRPr="00F21FEF">
        <w:rPr>
          <w:rFonts w:ascii="Times New Roman" w:eastAsia="ＭＳ 明朝" w:hAnsi="Times New Roman" w:cs="Times New Roman"/>
          <w:b/>
          <w:color w:val="000000" w:themeColor="text1"/>
          <w:kern w:val="0"/>
          <w:sz w:val="24"/>
          <w:szCs w:val="24"/>
          <w:lang w:val="en-AU"/>
        </w:rPr>
        <w:t xml:space="preserve"> profile of 44 isolates</w:t>
      </w:r>
      <w:bookmarkEnd w:id="1"/>
      <w:r w:rsidR="00F21FEF" w:rsidRPr="00F21FEF">
        <w:rPr>
          <w:rFonts w:ascii="Times New Roman" w:eastAsia="ＭＳ 明朝" w:hAnsi="Times New Roman" w:cs="Times New Roman"/>
          <w:bCs/>
          <w:color w:val="000000" w:themeColor="text1"/>
          <w:kern w:val="0"/>
          <w:sz w:val="24"/>
          <w:szCs w:val="24"/>
          <w:lang w:val="en-AU"/>
        </w:rPr>
        <w:t xml:space="preserve"> </w:t>
      </w:r>
      <w:r w:rsidR="00F21FEF" w:rsidRPr="00F21FEF">
        <w:rPr>
          <w:rFonts w:ascii="Times New Roman" w:eastAsia="ＭＳ 明朝" w:hAnsi="Times New Roman" w:cs="Times New Roman"/>
          <w:b/>
          <w:bCs/>
          <w:color w:val="000000" w:themeColor="text1"/>
          <w:kern w:val="0"/>
          <w:sz w:val="24"/>
          <w:szCs w:val="24"/>
          <w:lang w:val="en-AU"/>
        </w:rPr>
        <w:t xml:space="preserve"> </w:t>
      </w:r>
    </w:p>
    <w:tbl>
      <w:tblPr>
        <w:tblW w:w="13892" w:type="dxa"/>
        <w:tblBorders>
          <w:top w:val="single" w:sz="4" w:space="0" w:color="7F7F7F"/>
          <w:bottom w:val="single" w:sz="4" w:space="0" w:color="7F7F7F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1134"/>
        <w:gridCol w:w="1275"/>
        <w:gridCol w:w="1134"/>
        <w:gridCol w:w="1312"/>
        <w:gridCol w:w="1240"/>
        <w:gridCol w:w="1389"/>
        <w:gridCol w:w="1162"/>
        <w:gridCol w:w="1418"/>
      </w:tblGrid>
      <w:tr w:rsidR="00F21FEF" w:rsidRPr="00F21FEF" w14:paraId="0F530D10" w14:textId="77777777" w:rsidTr="00601CED">
        <w:trPr>
          <w:trHeight w:val="726"/>
        </w:trPr>
        <w:tc>
          <w:tcPr>
            <w:tcW w:w="255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14:paraId="66F4A866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14:paraId="52ED4C89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TMP-SMZ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14:paraId="749E0ACB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  <w:t>MINO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</w:tcBorders>
          </w:tcPr>
          <w:p w14:paraId="6E110494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  <w:t>SBT/ABPC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</w:tcPr>
          <w:p w14:paraId="1DE9A544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  <w:t>FMOX</w:t>
            </w:r>
          </w:p>
        </w:tc>
        <w:tc>
          <w:tcPr>
            <w:tcW w:w="1312" w:type="dxa"/>
            <w:tcBorders>
              <w:top w:val="single" w:sz="18" w:space="0" w:color="000000"/>
              <w:bottom w:val="single" w:sz="18" w:space="0" w:color="000000"/>
            </w:tcBorders>
          </w:tcPr>
          <w:p w14:paraId="2775F327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MEPM</w:t>
            </w:r>
          </w:p>
        </w:tc>
        <w:tc>
          <w:tcPr>
            <w:tcW w:w="1240" w:type="dxa"/>
            <w:tcBorders>
              <w:top w:val="single" w:sz="18" w:space="0" w:color="000000"/>
              <w:bottom w:val="single" w:sz="18" w:space="0" w:color="000000"/>
            </w:tcBorders>
          </w:tcPr>
          <w:p w14:paraId="72FDE3A6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 xml:space="preserve">LVFX </w:t>
            </w:r>
          </w:p>
        </w:tc>
        <w:tc>
          <w:tcPr>
            <w:tcW w:w="1389" w:type="dxa"/>
            <w:tcBorders>
              <w:top w:val="single" w:sz="18" w:space="0" w:color="000000"/>
              <w:bottom w:val="single" w:sz="18" w:space="0" w:color="000000"/>
            </w:tcBorders>
          </w:tcPr>
          <w:p w14:paraId="11135842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IPM/CS</w:t>
            </w:r>
          </w:p>
        </w:tc>
        <w:tc>
          <w:tcPr>
            <w:tcW w:w="1162" w:type="dxa"/>
            <w:tcBorders>
              <w:top w:val="single" w:sz="18" w:space="0" w:color="000000"/>
              <w:bottom w:val="single" w:sz="18" w:space="0" w:color="000000"/>
            </w:tcBorders>
          </w:tcPr>
          <w:p w14:paraId="2E2DA6AE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  <w:t>LZD</w:t>
            </w:r>
          </w:p>
        </w:tc>
        <w:tc>
          <w:tcPr>
            <w:tcW w:w="1418" w:type="dxa"/>
            <w:tcBorders>
              <w:top w:val="single" w:sz="18" w:space="0" w:color="000000"/>
              <w:bottom w:val="single" w:sz="18" w:space="0" w:color="000000"/>
            </w:tcBorders>
          </w:tcPr>
          <w:p w14:paraId="28603EB9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AMPC/CVA</w:t>
            </w:r>
          </w:p>
        </w:tc>
      </w:tr>
      <w:tr w:rsidR="00F21FEF" w:rsidRPr="00F21FEF" w14:paraId="236774A3" w14:textId="77777777" w:rsidTr="005C789E">
        <w:trPr>
          <w:trHeight w:val="730"/>
        </w:trPr>
        <w:tc>
          <w:tcPr>
            <w:tcW w:w="2552" w:type="dxa"/>
            <w:tcBorders>
              <w:top w:val="single" w:sz="4" w:space="0" w:color="7F7F7F"/>
            </w:tcBorders>
            <w:shd w:val="clear" w:color="auto" w:fill="auto"/>
          </w:tcPr>
          <w:p w14:paraId="0028C7BA" w14:textId="77777777" w:rsidR="00F21FEF" w:rsidRPr="00F21FEF" w:rsidRDefault="00F21FEF" w:rsidP="00601CED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F21FEF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AST available for isolates</w:t>
            </w:r>
          </w:p>
        </w:tc>
        <w:tc>
          <w:tcPr>
            <w:tcW w:w="1276" w:type="dxa"/>
            <w:tcBorders>
              <w:top w:val="single" w:sz="4" w:space="0" w:color="7F7F7F"/>
            </w:tcBorders>
            <w:shd w:val="clear" w:color="auto" w:fill="auto"/>
          </w:tcPr>
          <w:p w14:paraId="3782E4CA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  <w:t>33</w:t>
            </w:r>
          </w:p>
        </w:tc>
        <w:tc>
          <w:tcPr>
            <w:tcW w:w="1134" w:type="dxa"/>
            <w:tcBorders>
              <w:top w:val="single" w:sz="4" w:space="0" w:color="7F7F7F"/>
            </w:tcBorders>
            <w:shd w:val="clear" w:color="auto" w:fill="auto"/>
          </w:tcPr>
          <w:p w14:paraId="338FF865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40</w:t>
            </w:r>
          </w:p>
        </w:tc>
        <w:tc>
          <w:tcPr>
            <w:tcW w:w="1275" w:type="dxa"/>
            <w:tcBorders>
              <w:top w:val="single" w:sz="4" w:space="0" w:color="7F7F7F"/>
            </w:tcBorders>
          </w:tcPr>
          <w:p w14:paraId="353908D8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39</w:t>
            </w:r>
          </w:p>
        </w:tc>
        <w:tc>
          <w:tcPr>
            <w:tcW w:w="1134" w:type="dxa"/>
            <w:tcBorders>
              <w:top w:val="single" w:sz="4" w:space="0" w:color="7F7F7F"/>
            </w:tcBorders>
          </w:tcPr>
          <w:p w14:paraId="68150B40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38</w:t>
            </w:r>
          </w:p>
        </w:tc>
        <w:tc>
          <w:tcPr>
            <w:tcW w:w="1312" w:type="dxa"/>
            <w:tcBorders>
              <w:top w:val="single" w:sz="4" w:space="0" w:color="7F7F7F"/>
            </w:tcBorders>
          </w:tcPr>
          <w:p w14:paraId="0A5D8CB7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0</w:t>
            </w:r>
          </w:p>
        </w:tc>
        <w:tc>
          <w:tcPr>
            <w:tcW w:w="1240" w:type="dxa"/>
            <w:tcBorders>
              <w:top w:val="single" w:sz="4" w:space="0" w:color="7F7F7F"/>
            </w:tcBorders>
          </w:tcPr>
          <w:p w14:paraId="41EC02A0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39</w:t>
            </w:r>
          </w:p>
        </w:tc>
        <w:tc>
          <w:tcPr>
            <w:tcW w:w="1389" w:type="dxa"/>
            <w:tcBorders>
              <w:top w:val="single" w:sz="4" w:space="0" w:color="7F7F7F"/>
            </w:tcBorders>
          </w:tcPr>
          <w:p w14:paraId="162D8C2B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40</w:t>
            </w:r>
          </w:p>
        </w:tc>
        <w:tc>
          <w:tcPr>
            <w:tcW w:w="1162" w:type="dxa"/>
            <w:tcBorders>
              <w:top w:val="single" w:sz="4" w:space="0" w:color="7F7F7F"/>
            </w:tcBorders>
          </w:tcPr>
          <w:p w14:paraId="6C671181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17</w:t>
            </w:r>
          </w:p>
        </w:tc>
        <w:tc>
          <w:tcPr>
            <w:tcW w:w="1418" w:type="dxa"/>
            <w:tcBorders>
              <w:top w:val="single" w:sz="4" w:space="0" w:color="7F7F7F"/>
            </w:tcBorders>
          </w:tcPr>
          <w:p w14:paraId="4917716E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5</w:t>
            </w:r>
          </w:p>
        </w:tc>
      </w:tr>
      <w:tr w:rsidR="00F21FEF" w:rsidRPr="00F21FEF" w14:paraId="0A1B9B7E" w14:textId="77777777" w:rsidTr="005C789E">
        <w:trPr>
          <w:trHeight w:val="730"/>
        </w:trPr>
        <w:tc>
          <w:tcPr>
            <w:tcW w:w="2552" w:type="dxa"/>
            <w:tcBorders>
              <w:top w:val="single" w:sz="4" w:space="0" w:color="7F7F7F"/>
            </w:tcBorders>
            <w:shd w:val="clear" w:color="auto" w:fill="auto"/>
          </w:tcPr>
          <w:p w14:paraId="52F2455D" w14:textId="77777777" w:rsidR="00F21FEF" w:rsidRPr="00F21FEF" w:rsidRDefault="00F21FEF" w:rsidP="00601CED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F21FEF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Drug susceptibility</w:t>
            </w:r>
          </w:p>
        </w:tc>
        <w:tc>
          <w:tcPr>
            <w:tcW w:w="1276" w:type="dxa"/>
            <w:tcBorders>
              <w:top w:val="single" w:sz="4" w:space="0" w:color="7F7F7F"/>
            </w:tcBorders>
            <w:shd w:val="clear" w:color="auto" w:fill="auto"/>
          </w:tcPr>
          <w:p w14:paraId="335BEACF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7F7F7F"/>
            </w:tcBorders>
            <w:shd w:val="clear" w:color="auto" w:fill="auto"/>
          </w:tcPr>
          <w:p w14:paraId="684BE1DC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</w:p>
        </w:tc>
        <w:tc>
          <w:tcPr>
            <w:tcW w:w="1275" w:type="dxa"/>
            <w:tcBorders>
              <w:top w:val="single" w:sz="4" w:space="0" w:color="7F7F7F"/>
            </w:tcBorders>
          </w:tcPr>
          <w:p w14:paraId="4224ACE2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7F7F7F"/>
            </w:tcBorders>
          </w:tcPr>
          <w:p w14:paraId="14092C87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</w:p>
        </w:tc>
        <w:tc>
          <w:tcPr>
            <w:tcW w:w="1312" w:type="dxa"/>
            <w:tcBorders>
              <w:top w:val="single" w:sz="4" w:space="0" w:color="7F7F7F"/>
            </w:tcBorders>
          </w:tcPr>
          <w:p w14:paraId="3EFDE307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</w:p>
        </w:tc>
        <w:tc>
          <w:tcPr>
            <w:tcW w:w="1240" w:type="dxa"/>
            <w:tcBorders>
              <w:top w:val="single" w:sz="4" w:space="0" w:color="7F7F7F"/>
            </w:tcBorders>
          </w:tcPr>
          <w:p w14:paraId="2CFB4EEC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</w:p>
        </w:tc>
        <w:tc>
          <w:tcPr>
            <w:tcW w:w="1389" w:type="dxa"/>
            <w:tcBorders>
              <w:top w:val="single" w:sz="4" w:space="0" w:color="7F7F7F"/>
            </w:tcBorders>
          </w:tcPr>
          <w:p w14:paraId="400F833C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</w:p>
        </w:tc>
        <w:tc>
          <w:tcPr>
            <w:tcW w:w="1162" w:type="dxa"/>
            <w:tcBorders>
              <w:top w:val="single" w:sz="4" w:space="0" w:color="7F7F7F"/>
            </w:tcBorders>
          </w:tcPr>
          <w:p w14:paraId="2E2A63EC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7F7F7F"/>
            </w:tcBorders>
          </w:tcPr>
          <w:p w14:paraId="2B482762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</w:p>
        </w:tc>
      </w:tr>
      <w:tr w:rsidR="00F21FEF" w:rsidRPr="00F21FEF" w14:paraId="78F53407" w14:textId="77777777" w:rsidTr="005C789E">
        <w:trPr>
          <w:trHeight w:val="730"/>
        </w:trPr>
        <w:tc>
          <w:tcPr>
            <w:tcW w:w="2552" w:type="dxa"/>
            <w:tcBorders>
              <w:top w:val="single" w:sz="4" w:space="0" w:color="7F7F7F"/>
            </w:tcBorders>
            <w:shd w:val="clear" w:color="auto" w:fill="auto"/>
          </w:tcPr>
          <w:p w14:paraId="6028EFC9" w14:textId="77777777" w:rsidR="00F21FEF" w:rsidRPr="00F21FEF" w:rsidRDefault="00F21FEF" w:rsidP="00601CED">
            <w:pPr>
              <w:widowControl/>
              <w:ind w:firstLineChars="150" w:firstLine="330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</w:pPr>
            <w:r w:rsidRPr="00F21FEF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Sensitive</w:t>
            </w:r>
          </w:p>
        </w:tc>
        <w:tc>
          <w:tcPr>
            <w:tcW w:w="1276" w:type="dxa"/>
            <w:tcBorders>
              <w:top w:val="single" w:sz="4" w:space="0" w:color="7F7F7F"/>
            </w:tcBorders>
            <w:shd w:val="clear" w:color="auto" w:fill="auto"/>
          </w:tcPr>
          <w:p w14:paraId="1D83E902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  <w:t>26 (79%)</w:t>
            </w:r>
          </w:p>
        </w:tc>
        <w:tc>
          <w:tcPr>
            <w:tcW w:w="1134" w:type="dxa"/>
            <w:tcBorders>
              <w:top w:val="single" w:sz="4" w:space="0" w:color="7F7F7F"/>
            </w:tcBorders>
            <w:shd w:val="clear" w:color="auto" w:fill="auto"/>
          </w:tcPr>
          <w:p w14:paraId="688EB649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35 (88%)</w:t>
            </w:r>
          </w:p>
        </w:tc>
        <w:tc>
          <w:tcPr>
            <w:tcW w:w="1275" w:type="dxa"/>
            <w:tcBorders>
              <w:top w:val="single" w:sz="4" w:space="0" w:color="7F7F7F"/>
            </w:tcBorders>
          </w:tcPr>
          <w:p w14:paraId="45F3F013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28 (72%)</w:t>
            </w:r>
          </w:p>
        </w:tc>
        <w:tc>
          <w:tcPr>
            <w:tcW w:w="1134" w:type="dxa"/>
            <w:tcBorders>
              <w:top w:val="single" w:sz="4" w:space="0" w:color="7F7F7F"/>
            </w:tcBorders>
          </w:tcPr>
          <w:p w14:paraId="3A4DF5C6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35 (92%)</w:t>
            </w:r>
          </w:p>
        </w:tc>
        <w:tc>
          <w:tcPr>
            <w:tcW w:w="1312" w:type="dxa"/>
            <w:tcBorders>
              <w:top w:val="single" w:sz="4" w:space="0" w:color="7F7F7F"/>
            </w:tcBorders>
          </w:tcPr>
          <w:p w14:paraId="5BDA83D8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N.A.</w:t>
            </w:r>
          </w:p>
        </w:tc>
        <w:tc>
          <w:tcPr>
            <w:tcW w:w="1240" w:type="dxa"/>
            <w:tcBorders>
              <w:top w:val="single" w:sz="4" w:space="0" w:color="7F7F7F"/>
            </w:tcBorders>
          </w:tcPr>
          <w:p w14:paraId="6900EA48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22 (56%)</w:t>
            </w:r>
          </w:p>
        </w:tc>
        <w:tc>
          <w:tcPr>
            <w:tcW w:w="1389" w:type="dxa"/>
            <w:tcBorders>
              <w:top w:val="single" w:sz="4" w:space="0" w:color="7F7F7F"/>
            </w:tcBorders>
          </w:tcPr>
          <w:p w14:paraId="6328ACD0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25 (63%)</w:t>
            </w:r>
          </w:p>
        </w:tc>
        <w:tc>
          <w:tcPr>
            <w:tcW w:w="1162" w:type="dxa"/>
            <w:tcBorders>
              <w:top w:val="single" w:sz="4" w:space="0" w:color="7F7F7F"/>
            </w:tcBorders>
          </w:tcPr>
          <w:p w14:paraId="2A7A8D8B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15 (88%)</w:t>
            </w:r>
          </w:p>
        </w:tc>
        <w:tc>
          <w:tcPr>
            <w:tcW w:w="1418" w:type="dxa"/>
            <w:tcBorders>
              <w:top w:val="single" w:sz="4" w:space="0" w:color="7F7F7F"/>
            </w:tcBorders>
          </w:tcPr>
          <w:p w14:paraId="3A94C924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3 (60%)</w:t>
            </w:r>
          </w:p>
        </w:tc>
      </w:tr>
      <w:tr w:rsidR="00F21FEF" w:rsidRPr="00F21FEF" w14:paraId="204A470D" w14:textId="77777777" w:rsidTr="005C789E">
        <w:trPr>
          <w:trHeight w:val="730"/>
        </w:trPr>
        <w:tc>
          <w:tcPr>
            <w:tcW w:w="2552" w:type="dxa"/>
            <w:tcBorders>
              <w:top w:val="single" w:sz="4" w:space="0" w:color="7F7F7F"/>
            </w:tcBorders>
            <w:shd w:val="clear" w:color="auto" w:fill="auto"/>
          </w:tcPr>
          <w:p w14:paraId="71D9FB75" w14:textId="77777777" w:rsidR="00F21FEF" w:rsidRPr="00F21FEF" w:rsidRDefault="00F21FEF" w:rsidP="00601CED">
            <w:pPr>
              <w:widowControl/>
              <w:ind w:firstLineChars="150" w:firstLine="330"/>
              <w:jc w:val="left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F21FEF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Intermediate</w:t>
            </w:r>
          </w:p>
        </w:tc>
        <w:tc>
          <w:tcPr>
            <w:tcW w:w="1276" w:type="dxa"/>
            <w:tcBorders>
              <w:top w:val="single" w:sz="4" w:space="0" w:color="7F7F7F"/>
            </w:tcBorders>
            <w:shd w:val="clear" w:color="auto" w:fill="auto"/>
          </w:tcPr>
          <w:p w14:paraId="5290AEB7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  <w:t>0 (0%)</w:t>
            </w:r>
          </w:p>
        </w:tc>
        <w:tc>
          <w:tcPr>
            <w:tcW w:w="1134" w:type="dxa"/>
            <w:tcBorders>
              <w:top w:val="single" w:sz="4" w:space="0" w:color="7F7F7F"/>
            </w:tcBorders>
            <w:shd w:val="clear" w:color="auto" w:fill="auto"/>
          </w:tcPr>
          <w:p w14:paraId="138B7C06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5 (12%)</w:t>
            </w:r>
          </w:p>
        </w:tc>
        <w:tc>
          <w:tcPr>
            <w:tcW w:w="1275" w:type="dxa"/>
            <w:tcBorders>
              <w:top w:val="single" w:sz="4" w:space="0" w:color="7F7F7F"/>
            </w:tcBorders>
          </w:tcPr>
          <w:p w14:paraId="6921A7FA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2 (5%)</w:t>
            </w:r>
          </w:p>
        </w:tc>
        <w:tc>
          <w:tcPr>
            <w:tcW w:w="1134" w:type="dxa"/>
            <w:tcBorders>
              <w:top w:val="single" w:sz="4" w:space="0" w:color="7F7F7F"/>
            </w:tcBorders>
          </w:tcPr>
          <w:p w14:paraId="4B360BB2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1 (3%)</w:t>
            </w:r>
          </w:p>
        </w:tc>
        <w:tc>
          <w:tcPr>
            <w:tcW w:w="1312" w:type="dxa"/>
            <w:tcBorders>
              <w:top w:val="single" w:sz="4" w:space="0" w:color="7F7F7F"/>
            </w:tcBorders>
          </w:tcPr>
          <w:p w14:paraId="736B7863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N.A.</w:t>
            </w:r>
          </w:p>
        </w:tc>
        <w:tc>
          <w:tcPr>
            <w:tcW w:w="1240" w:type="dxa"/>
            <w:tcBorders>
              <w:top w:val="single" w:sz="4" w:space="0" w:color="7F7F7F"/>
            </w:tcBorders>
          </w:tcPr>
          <w:p w14:paraId="7CF66E2A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2 (5%)</w:t>
            </w:r>
          </w:p>
        </w:tc>
        <w:tc>
          <w:tcPr>
            <w:tcW w:w="1389" w:type="dxa"/>
            <w:tcBorders>
              <w:top w:val="single" w:sz="4" w:space="0" w:color="7F7F7F"/>
            </w:tcBorders>
          </w:tcPr>
          <w:p w14:paraId="14ED395F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2 (4%)</w:t>
            </w:r>
          </w:p>
        </w:tc>
        <w:tc>
          <w:tcPr>
            <w:tcW w:w="1162" w:type="dxa"/>
            <w:tcBorders>
              <w:top w:val="single" w:sz="4" w:space="0" w:color="7F7F7F"/>
            </w:tcBorders>
          </w:tcPr>
          <w:p w14:paraId="6BBEAB94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0 (0%)</w:t>
            </w:r>
          </w:p>
        </w:tc>
        <w:tc>
          <w:tcPr>
            <w:tcW w:w="1418" w:type="dxa"/>
            <w:tcBorders>
              <w:top w:val="single" w:sz="4" w:space="0" w:color="7F7F7F"/>
            </w:tcBorders>
          </w:tcPr>
          <w:p w14:paraId="0CC94434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0 (0%)</w:t>
            </w:r>
          </w:p>
        </w:tc>
      </w:tr>
      <w:tr w:rsidR="00F21FEF" w:rsidRPr="00F21FEF" w14:paraId="2107EE29" w14:textId="77777777" w:rsidTr="005C789E">
        <w:trPr>
          <w:trHeight w:val="730"/>
        </w:trPr>
        <w:tc>
          <w:tcPr>
            <w:tcW w:w="2552" w:type="dxa"/>
            <w:tcBorders>
              <w:top w:val="single" w:sz="4" w:space="0" w:color="7F7F7F"/>
              <w:bottom w:val="single" w:sz="12" w:space="0" w:color="000000"/>
            </w:tcBorders>
            <w:shd w:val="clear" w:color="auto" w:fill="auto"/>
          </w:tcPr>
          <w:p w14:paraId="5C946E20" w14:textId="77777777" w:rsidR="00F21FEF" w:rsidRPr="00F21FEF" w:rsidRDefault="00F21FEF" w:rsidP="00601CED">
            <w:pPr>
              <w:widowControl/>
              <w:ind w:firstLineChars="150" w:firstLine="330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  <w:t>Resistant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12" w:space="0" w:color="000000"/>
            </w:tcBorders>
            <w:shd w:val="clear" w:color="auto" w:fill="auto"/>
          </w:tcPr>
          <w:p w14:paraId="4551A880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  <w:t>7 (21%)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12" w:space="0" w:color="000000"/>
            </w:tcBorders>
            <w:shd w:val="clear" w:color="auto" w:fill="auto"/>
          </w:tcPr>
          <w:p w14:paraId="68BA1F66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GB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0 (0%)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12" w:space="0" w:color="000000"/>
            </w:tcBorders>
          </w:tcPr>
          <w:p w14:paraId="47537148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9 (23%)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12" w:space="0" w:color="000000"/>
            </w:tcBorders>
          </w:tcPr>
          <w:p w14:paraId="672DC034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2 (5%)</w:t>
            </w:r>
          </w:p>
        </w:tc>
        <w:tc>
          <w:tcPr>
            <w:tcW w:w="1312" w:type="dxa"/>
            <w:tcBorders>
              <w:top w:val="single" w:sz="4" w:space="0" w:color="7F7F7F"/>
              <w:bottom w:val="single" w:sz="12" w:space="0" w:color="000000"/>
            </w:tcBorders>
          </w:tcPr>
          <w:p w14:paraId="61337E0E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N.A.</w:t>
            </w:r>
          </w:p>
        </w:tc>
        <w:tc>
          <w:tcPr>
            <w:tcW w:w="1240" w:type="dxa"/>
            <w:tcBorders>
              <w:top w:val="single" w:sz="4" w:space="0" w:color="7F7F7F"/>
              <w:bottom w:val="single" w:sz="12" w:space="0" w:color="000000"/>
            </w:tcBorders>
          </w:tcPr>
          <w:p w14:paraId="0F77BFE6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15 (38%)</w:t>
            </w:r>
          </w:p>
        </w:tc>
        <w:tc>
          <w:tcPr>
            <w:tcW w:w="1389" w:type="dxa"/>
            <w:tcBorders>
              <w:top w:val="single" w:sz="4" w:space="0" w:color="7F7F7F"/>
              <w:bottom w:val="single" w:sz="12" w:space="0" w:color="000000"/>
            </w:tcBorders>
          </w:tcPr>
          <w:p w14:paraId="000981BF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13 (33%)</w:t>
            </w:r>
          </w:p>
        </w:tc>
        <w:tc>
          <w:tcPr>
            <w:tcW w:w="1162" w:type="dxa"/>
            <w:tcBorders>
              <w:top w:val="single" w:sz="4" w:space="0" w:color="7F7F7F"/>
              <w:bottom w:val="single" w:sz="12" w:space="0" w:color="000000"/>
            </w:tcBorders>
          </w:tcPr>
          <w:p w14:paraId="07C32FCB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2 (12%)</w:t>
            </w:r>
          </w:p>
        </w:tc>
        <w:tc>
          <w:tcPr>
            <w:tcW w:w="1418" w:type="dxa"/>
            <w:tcBorders>
              <w:top w:val="single" w:sz="4" w:space="0" w:color="7F7F7F"/>
              <w:bottom w:val="single" w:sz="12" w:space="0" w:color="000000"/>
            </w:tcBorders>
          </w:tcPr>
          <w:p w14:paraId="660D2316" w14:textId="77777777" w:rsidR="00F21FEF" w:rsidRPr="00F21FEF" w:rsidRDefault="00F21FEF" w:rsidP="00601CED">
            <w:pPr>
              <w:widowControl/>
              <w:jc w:val="center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F21FEF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2 (40%)</w:t>
            </w:r>
          </w:p>
        </w:tc>
      </w:tr>
    </w:tbl>
    <w:p w14:paraId="5A3F62D5" w14:textId="2A6617C8" w:rsidR="00581571" w:rsidRPr="00F21FEF" w:rsidRDefault="00275859" w:rsidP="00601CED">
      <w:r>
        <w:rPr>
          <w:rFonts w:ascii="Times New Roman" w:eastAsia="ＭＳ 明朝" w:hAnsi="Times New Roman" w:cs="Times New Roman"/>
          <w:bCs/>
          <w:color w:val="000000" w:themeColor="text1"/>
          <w:kern w:val="0"/>
          <w:sz w:val="24"/>
          <w:szCs w:val="24"/>
        </w:rPr>
        <w:t>Each a</w:t>
      </w:r>
      <w:r w:rsidRPr="00275859">
        <w:rPr>
          <w:rFonts w:ascii="Times New Roman" w:eastAsia="ＭＳ 明朝" w:hAnsi="Times New Roman" w:cs="Times New Roman"/>
          <w:bCs/>
          <w:color w:val="000000" w:themeColor="text1"/>
          <w:kern w:val="0"/>
          <w:sz w:val="24"/>
          <w:szCs w:val="24"/>
        </w:rPr>
        <w:t>ntibiotic susceptibility profile of 44 isolates</w:t>
      </w:r>
      <w:r>
        <w:rPr>
          <w:rFonts w:ascii="Times New Roman" w:eastAsia="ＭＳ 明朝" w:hAnsi="Times New Roman" w:cs="Times New Roman"/>
          <w:bCs/>
          <w:color w:val="000000" w:themeColor="text1"/>
          <w:kern w:val="0"/>
          <w:sz w:val="24"/>
          <w:szCs w:val="24"/>
        </w:rPr>
        <w:t>.</w:t>
      </w:r>
      <w:r w:rsidRPr="00275859">
        <w:rPr>
          <w:rFonts w:ascii="Times New Roman" w:eastAsia="ＭＳ 明朝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  <w:r w:rsidR="00F21FEF" w:rsidRPr="00F21FEF">
        <w:rPr>
          <w:rFonts w:ascii="Times New Roman" w:eastAsia="ＭＳ 明朝" w:hAnsi="Times New Roman" w:cs="Times New Roman"/>
          <w:bCs/>
          <w:color w:val="000000" w:themeColor="text1"/>
          <w:kern w:val="0"/>
          <w:sz w:val="24"/>
          <w:szCs w:val="24"/>
        </w:rPr>
        <w:t xml:space="preserve">Data presented as counts (%). </w:t>
      </w:r>
      <w:r w:rsidR="00F21FEF" w:rsidRPr="00F21FEF">
        <w:rPr>
          <w:rFonts w:ascii="Times New Roman" w:eastAsia="ＭＳ 明朝" w:hAnsi="Times New Roman" w:cs="Times New Roman"/>
          <w:bCs/>
          <w:color w:val="000000" w:themeColor="text1"/>
          <w:kern w:val="0"/>
          <w:sz w:val="22"/>
          <w:lang w:val="en-GB"/>
        </w:rPr>
        <w:t xml:space="preserve">AST, antibiotic susceptibility test; </w:t>
      </w:r>
      <w:r w:rsidR="00F21FEF" w:rsidRPr="00F21FEF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  <w:lang w:val="en-AU"/>
        </w:rPr>
        <w:t xml:space="preserve">TMP-SMZ, trimethoprim/sulfamethoxazole; MINO, Minocycline; SBT/ABPC, </w:t>
      </w:r>
      <w:r w:rsidR="00F21FEF" w:rsidRPr="00F21FEF">
        <w:rPr>
          <w:rFonts w:ascii="Times New Roman" w:eastAsia="ＭＳ 明朝" w:hAnsi="Times New Roman" w:cs="Times New Roman"/>
          <w:bCs/>
          <w:color w:val="000000" w:themeColor="text1"/>
          <w:kern w:val="0"/>
          <w:sz w:val="24"/>
          <w:szCs w:val="24"/>
          <w:lang w:val="en-AU"/>
        </w:rPr>
        <w:t xml:space="preserve">sulbactam/ampicillin; FMOX, flomoxef; MEPM, meropenem; LVFX, levofloxacin; </w:t>
      </w:r>
      <w:r w:rsidR="00F21FEF" w:rsidRPr="00F21FEF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  <w:lang w:val="en-AU"/>
        </w:rPr>
        <w:t>IPM/CS, imipenem/</w:t>
      </w:r>
      <w:proofErr w:type="spellStart"/>
      <w:r w:rsidR="00F21FEF" w:rsidRPr="00F21FEF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  <w:lang w:val="en-AU"/>
        </w:rPr>
        <w:t>cilastatin</w:t>
      </w:r>
      <w:proofErr w:type="spellEnd"/>
      <w:r w:rsidR="00F21FEF" w:rsidRPr="00F21FEF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  <w:lang w:val="en-AU"/>
        </w:rPr>
        <w:t xml:space="preserve"> sodium; LZD, Linezolid; AMPC/CVA, amoxicillin/clavulanic acid.</w:t>
      </w:r>
    </w:p>
    <w:sectPr w:rsidR="00581571" w:rsidRPr="00F21FEF" w:rsidSect="00F21FEF"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8F7B7" w14:textId="77777777" w:rsidR="005070CE" w:rsidRDefault="005070CE" w:rsidP="005070CE">
      <w:r>
        <w:separator/>
      </w:r>
    </w:p>
  </w:endnote>
  <w:endnote w:type="continuationSeparator" w:id="0">
    <w:p w14:paraId="1759BDDF" w14:textId="77777777" w:rsidR="005070CE" w:rsidRDefault="005070CE" w:rsidP="00507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34F2A" w14:textId="77777777" w:rsidR="005070CE" w:rsidRDefault="005070CE" w:rsidP="005070CE">
      <w:r>
        <w:separator/>
      </w:r>
    </w:p>
  </w:footnote>
  <w:footnote w:type="continuationSeparator" w:id="0">
    <w:p w14:paraId="4F5CA2D5" w14:textId="77777777" w:rsidR="005070CE" w:rsidRDefault="005070CE" w:rsidP="005070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EF"/>
    <w:rsid w:val="00275859"/>
    <w:rsid w:val="005070CE"/>
    <w:rsid w:val="00601CED"/>
    <w:rsid w:val="00641C87"/>
    <w:rsid w:val="006A6778"/>
    <w:rsid w:val="00A7135C"/>
    <w:rsid w:val="00F2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87D6D6E"/>
  <w15:chartTrackingRefBased/>
  <w15:docId w15:val="{A4F411D4-79A9-41BE-89E9-696E5C88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0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70CE"/>
  </w:style>
  <w:style w:type="paragraph" w:styleId="a5">
    <w:name w:val="footer"/>
    <w:basedOn w:val="a"/>
    <w:link w:val="a6"/>
    <w:uiPriority w:val="99"/>
    <w:unhideWhenUsed/>
    <w:rsid w:val="005070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7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濵田 昌平</dc:creator>
  <cp:keywords/>
  <dc:description/>
  <cp:lastModifiedBy>濵田 昌平</cp:lastModifiedBy>
  <cp:revision>5</cp:revision>
  <dcterms:created xsi:type="dcterms:W3CDTF">2022-04-17T22:20:00Z</dcterms:created>
  <dcterms:modified xsi:type="dcterms:W3CDTF">2022-07-28T22:46:00Z</dcterms:modified>
</cp:coreProperties>
</file>