
<file path=[Content_Types].xml><?xml version="1.0" encoding="utf-8"?>
<Types xmlns="http://schemas.openxmlformats.org/package/2006/content-types">
  <Default Extension="tiff" ContentType="image/tif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bCs/>
          <w:szCs w:val="21"/>
          <w:highlight w:val="none"/>
        </w:rPr>
      </w:pPr>
      <w:r>
        <w:rPr>
          <w:rFonts w:hint="eastAsia" w:ascii="Times New Roman" w:hAnsi="Times New Roman" w:cs="Times New Roman"/>
          <w:b/>
          <w:bCs/>
          <w:sz w:val="24"/>
          <w:highlight w:val="none"/>
        </w:rPr>
        <w:t xml:space="preserve">CaSR modulates proliferation of the superficial zone cells in temporomandibular joint cartilage via the PTHrP </w:t>
      </w:r>
      <w:r>
        <w:rPr>
          <w:rFonts w:ascii="Times New Roman" w:hAnsi="Times New Roman" w:cs="Times New Roman"/>
          <w:b/>
          <w:bCs/>
          <w:sz w:val="24"/>
          <w:highlight w:val="none"/>
        </w:rPr>
        <w:t>nuclear localization sequence</w:t>
      </w:r>
    </w:p>
    <w:p>
      <w:pPr>
        <w:ind w:firstLine="480" w:firstLineChars="200"/>
        <w:rPr>
          <w:rFonts w:ascii="Times New Roman" w:hAnsi="Times New Roman" w:cs="Times New Roman"/>
          <w:sz w:val="24"/>
          <w:highlight w:val="none"/>
        </w:rPr>
      </w:pPr>
    </w:p>
    <w:p>
      <w:pPr>
        <w:ind w:firstLine="480" w:firstLineChars="200"/>
        <w:rPr>
          <w:rFonts w:ascii="Times New Roman" w:hAnsi="Times New Roman" w:cs="Times New Roman"/>
          <w:sz w:val="24"/>
          <w:highlight w:val="none"/>
        </w:rPr>
      </w:pPr>
    </w:p>
    <w:p>
      <w:pPr>
        <w:ind w:firstLine="480" w:firstLineChars="200"/>
        <w:rPr>
          <w:rFonts w:ascii="Times New Roman" w:hAnsi="Times New Roman" w:cs="Times New Roman"/>
          <w:sz w:val="24"/>
          <w:highlight w:val="none"/>
        </w:rPr>
      </w:pPr>
    </w:p>
    <w:p>
      <w:pPr>
        <w:ind w:firstLine="482" w:firstLineChars="200"/>
        <w:jc w:val="center"/>
        <w:rPr>
          <w:rFonts w:ascii="Times New Roman" w:hAnsi="Times New Roman" w:cs="Times New Roman"/>
          <w:b/>
          <w:bCs/>
          <w:sz w:val="24"/>
          <w:highlight w:val="none"/>
        </w:rPr>
      </w:pPr>
      <w:r>
        <w:rPr>
          <w:rFonts w:hint="eastAsia" w:ascii="Times New Roman" w:hAnsi="Times New Roman" w:cs="Times New Roman"/>
          <w:b/>
          <w:bCs/>
          <w:sz w:val="24"/>
          <w:highlight w:val="none"/>
        </w:rPr>
        <w:t>Table S1. Primers for genotyping</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8520" w:type="dxa"/>
            <w:tcBorders>
              <w:top w:val="single" w:color="auto" w:sz="4" w:space="0"/>
              <w:left w:val="nil"/>
              <w:bottom w:val="single" w:color="auto" w:sz="4" w:space="0"/>
              <w:right w:val="nil"/>
            </w:tcBorders>
            <w:shd w:val="clear" w:color="auto" w:fill="auto"/>
          </w:tcPr>
          <w:p>
            <w:pPr>
              <w:rPr>
                <w:rFonts w:ascii="Times New Roman" w:hAnsi="Times New Roman" w:eastAsia="宋体" w:cs="Times New Roman"/>
                <w:b/>
                <w:bCs/>
                <w:szCs w:val="21"/>
                <w:highlight w:val="none"/>
              </w:rPr>
            </w:pPr>
            <w:r>
              <w:rPr>
                <w:rFonts w:ascii="Times New Roman" w:hAnsi="Times New Roman" w:eastAsia="宋体" w:cs="Times New Roman"/>
                <w:b/>
                <w:bCs/>
                <w:szCs w:val="21"/>
                <w:highlight w:val="none"/>
                <w:lang w:bidi="ar"/>
              </w:rPr>
              <w:t xml:space="preserve">Genes              Forward primer                        Reverse primer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8520" w:type="dxa"/>
            <w:tcBorders>
              <w:top w:val="single" w:color="auto" w:sz="4" w:space="0"/>
              <w:left w:val="nil"/>
              <w:bottom w:val="single" w:color="auto" w:sz="4" w:space="0"/>
              <w:right w:val="nil"/>
            </w:tcBorders>
            <w:shd w:val="clear" w:color="auto" w:fill="auto"/>
          </w:tcPr>
          <w:p>
            <w:pPr>
              <w:ind w:left="210" w:hanging="210" w:hangingChars="100"/>
              <w:rPr>
                <w:rFonts w:ascii="Times New Roman" w:hAnsi="Times New Roman" w:eastAsia="宋体" w:cs="Times New Roman"/>
                <w:szCs w:val="21"/>
                <w:highlight w:val="none"/>
                <w:vertAlign w:val="superscript"/>
              </w:rPr>
            </w:pPr>
            <w:r>
              <w:rPr>
                <w:rFonts w:ascii="Times New Roman" w:hAnsi="Times New Roman" w:eastAsia="宋体" w:cs="Times New Roman"/>
                <w:szCs w:val="21"/>
                <w:highlight w:val="none"/>
                <w:lang w:bidi="ar"/>
              </w:rPr>
              <w:t>CaSR</w:t>
            </w:r>
            <w:r>
              <w:rPr>
                <w:rFonts w:ascii="Times New Roman" w:hAnsi="Times New Roman" w:eastAsia="宋体" w:cs="Times New Roman"/>
                <w:szCs w:val="21"/>
                <w:highlight w:val="none"/>
                <w:vertAlign w:val="superscript"/>
                <w:lang w:bidi="ar"/>
              </w:rPr>
              <w:t xml:space="preserve">flox/flox </w:t>
            </w:r>
            <w:r>
              <w:rPr>
                <w:rFonts w:hint="eastAsia" w:ascii="Times New Roman" w:hAnsi="Times New Roman" w:eastAsia="宋体" w:cs="Times New Roman"/>
                <w:szCs w:val="21"/>
                <w:highlight w:val="none"/>
                <w:vertAlign w:val="superscript"/>
                <w:lang w:bidi="ar"/>
              </w:rPr>
              <w:t xml:space="preserve">      </w:t>
            </w:r>
            <w:r>
              <w:rPr>
                <w:rFonts w:ascii="Times New Roman" w:hAnsi="Times New Roman" w:eastAsia="宋体" w:cs="Times New Roman"/>
                <w:szCs w:val="21"/>
                <w:highlight w:val="none"/>
                <w:lang w:bidi="ar"/>
              </w:rPr>
              <w:t xml:space="preserve">GTGACGGAAAACATACTGC         </w:t>
            </w:r>
            <w:r>
              <w:rPr>
                <w:rFonts w:hint="eastAsia" w:ascii="Times New Roman" w:hAnsi="Times New Roman" w:eastAsia="宋体" w:cs="Times New Roman"/>
                <w:szCs w:val="21"/>
                <w:highlight w:val="none"/>
                <w:lang w:bidi="ar"/>
              </w:rPr>
              <w:t xml:space="preserve">  </w:t>
            </w:r>
            <w:r>
              <w:rPr>
                <w:rFonts w:ascii="Times New Roman" w:hAnsi="Times New Roman" w:eastAsia="宋体" w:cs="Times New Roman"/>
                <w:szCs w:val="21"/>
                <w:highlight w:val="none"/>
                <w:lang w:bidi="ar"/>
              </w:rPr>
              <w:t>CGAGTACAGGCTTTGATGC</w:t>
            </w:r>
          </w:p>
          <w:p>
            <w:pPr>
              <w:rPr>
                <w:rFonts w:ascii="Times New Roman" w:hAnsi="Times New Roman" w:eastAsia="宋体" w:cs="Times New Roman"/>
                <w:szCs w:val="21"/>
                <w:highlight w:val="none"/>
                <w:vertAlign w:val="superscript"/>
              </w:rPr>
            </w:pPr>
            <w:r>
              <w:rPr>
                <w:rFonts w:ascii="Times New Roman" w:hAnsi="Times New Roman" w:eastAsia="宋体" w:cs="Times New Roman"/>
                <w:szCs w:val="21"/>
                <w:highlight w:val="none"/>
                <w:lang w:bidi="ar"/>
              </w:rPr>
              <w:t>PTHrP</w:t>
            </w:r>
            <w:r>
              <w:rPr>
                <w:rFonts w:ascii="Times New Roman" w:hAnsi="Times New Roman" w:eastAsia="宋体" w:cs="Times New Roman"/>
                <w:szCs w:val="21"/>
                <w:highlight w:val="none"/>
                <w:vertAlign w:val="superscript"/>
                <w:lang w:bidi="ar"/>
              </w:rPr>
              <w:t xml:space="preserve">flox/flox </w:t>
            </w:r>
            <w:r>
              <w:rPr>
                <w:rFonts w:hint="eastAsia" w:ascii="Times New Roman" w:hAnsi="Times New Roman" w:eastAsia="宋体" w:cs="Times New Roman"/>
                <w:szCs w:val="21"/>
                <w:highlight w:val="none"/>
                <w:vertAlign w:val="superscript"/>
                <w:lang w:bidi="ar"/>
              </w:rPr>
              <w:t xml:space="preserve">    </w:t>
            </w:r>
            <w:r>
              <w:rPr>
                <w:rFonts w:ascii="Times New Roman" w:hAnsi="Times New Roman" w:eastAsia="宋体" w:cs="Times New Roman"/>
                <w:szCs w:val="21"/>
                <w:highlight w:val="none"/>
                <w:lang w:bidi="ar"/>
              </w:rPr>
              <w:t xml:space="preserve">GAGGCTAAGCCAGGAGGATT </w:t>
            </w:r>
            <w:r>
              <w:rPr>
                <w:rFonts w:ascii="Times New Roman" w:hAnsi="Times New Roman" w:eastAsia="宋体" w:cs="Times New Roman"/>
                <w:szCs w:val="21"/>
                <w:highlight w:val="none"/>
                <w:vertAlign w:val="superscript"/>
                <w:lang w:bidi="ar"/>
              </w:rPr>
              <w:t xml:space="preserve">          </w:t>
            </w:r>
            <w:r>
              <w:rPr>
                <w:rFonts w:hint="eastAsia" w:ascii="Times New Roman" w:hAnsi="Times New Roman" w:eastAsia="宋体" w:cs="Times New Roman"/>
                <w:szCs w:val="21"/>
                <w:highlight w:val="none"/>
                <w:vertAlign w:val="superscript"/>
                <w:lang w:bidi="ar"/>
              </w:rPr>
              <w:t xml:space="preserve">    </w:t>
            </w:r>
            <w:r>
              <w:rPr>
                <w:rFonts w:ascii="Times New Roman" w:hAnsi="Times New Roman" w:eastAsia="宋体" w:cs="Times New Roman"/>
                <w:szCs w:val="21"/>
                <w:highlight w:val="none"/>
                <w:lang w:bidi="ar"/>
              </w:rPr>
              <w:t>CCCCATCCTCTCTCCTCTCT</w:t>
            </w:r>
            <w:r>
              <w:rPr>
                <w:rFonts w:ascii="Times New Roman" w:hAnsi="Times New Roman" w:eastAsia="宋体" w:cs="Times New Roman"/>
                <w:szCs w:val="21"/>
                <w:highlight w:val="none"/>
                <w:vertAlign w:val="superscript"/>
                <w:lang w:bidi="ar"/>
              </w:rPr>
              <w:t xml:space="preserve">                       </w:t>
            </w:r>
          </w:p>
          <w:p>
            <w:pPr>
              <w:rPr>
                <w:rFonts w:ascii="Times New Roman" w:hAnsi="Times New Roman" w:eastAsia="宋体" w:cs="Times New Roman"/>
                <w:szCs w:val="21"/>
                <w:highlight w:val="none"/>
              </w:rPr>
            </w:pPr>
            <w:r>
              <w:rPr>
                <w:rFonts w:ascii="Times New Roman" w:hAnsi="Times New Roman" w:eastAsia="宋体" w:cs="Times New Roman"/>
                <w:szCs w:val="21"/>
                <w:highlight w:val="none"/>
                <w:lang w:bidi="ar"/>
              </w:rPr>
              <w:t>Prg4</w:t>
            </w:r>
            <w:r>
              <w:rPr>
                <w:rFonts w:ascii="Times New Roman" w:hAnsi="Times New Roman" w:eastAsia="宋体" w:cs="Times New Roman"/>
                <w:szCs w:val="21"/>
                <w:highlight w:val="none"/>
                <w:vertAlign w:val="superscript"/>
                <w:lang w:bidi="ar"/>
              </w:rPr>
              <w:t>creET2</w:t>
            </w:r>
            <w:r>
              <w:rPr>
                <w:rFonts w:hint="eastAsia" w:ascii="Times New Roman" w:hAnsi="Times New Roman" w:eastAsia="宋体" w:cs="Times New Roman"/>
                <w:szCs w:val="21"/>
                <w:highlight w:val="none"/>
                <w:vertAlign w:val="superscript"/>
                <w:lang w:bidi="ar"/>
              </w:rPr>
              <w:t xml:space="preserve">      </w:t>
            </w:r>
            <w:r>
              <w:rPr>
                <w:rFonts w:ascii="Times New Roman" w:hAnsi="Times New Roman" w:eastAsia="宋体" w:cs="Times New Roman"/>
                <w:szCs w:val="21"/>
                <w:highlight w:val="none"/>
                <w:lang w:bidi="ar"/>
              </w:rPr>
              <w:t xml:space="preserve">TGACTATCTCAGGAATTCAAGCTG </w:t>
            </w:r>
            <w:r>
              <w:rPr>
                <w:rFonts w:ascii="Times New Roman" w:hAnsi="Times New Roman" w:eastAsia="宋体" w:cs="Times New Roman"/>
                <w:szCs w:val="21"/>
                <w:highlight w:val="none"/>
                <w:vertAlign w:val="superscript"/>
                <w:lang w:bidi="ar"/>
              </w:rPr>
              <w:t xml:space="preserve">         </w:t>
            </w:r>
            <w:r>
              <w:rPr>
                <w:rFonts w:ascii="Times New Roman" w:hAnsi="Times New Roman" w:eastAsia="宋体" w:cs="Times New Roman"/>
                <w:szCs w:val="21"/>
                <w:highlight w:val="none"/>
                <w:lang w:bidi="ar"/>
              </w:rPr>
              <w:t>CGCTTTTGACGCTGAAGTTAC</w:t>
            </w:r>
          </w:p>
        </w:tc>
      </w:tr>
    </w:tbl>
    <w:p>
      <w:pPr>
        <w:rPr>
          <w:rFonts w:ascii="Times New Roman" w:hAnsi="Times New Roman" w:cs="Times New Roman"/>
          <w:sz w:val="24"/>
          <w:highlight w:val="none"/>
        </w:rPr>
      </w:pPr>
    </w:p>
    <w:p>
      <w:pPr>
        <w:rPr>
          <w:rFonts w:ascii="Times New Roman" w:hAnsi="Times New Roman" w:cs="Times New Roman"/>
          <w:b/>
          <w:bCs/>
          <w:sz w:val="24"/>
          <w:highlight w:val="none"/>
        </w:rPr>
      </w:pPr>
      <w:r>
        <w:rPr>
          <w:rFonts w:ascii="Times New Roman" w:hAnsi="Times New Roman" w:cs="Times New Roman"/>
          <w:b/>
          <w:bCs/>
          <w:sz w:val="24"/>
          <w:highlight w:val="none"/>
        </w:rPr>
        <w:t>Supplementary Figures</w:t>
      </w:r>
    </w:p>
    <w:p>
      <w:pPr>
        <w:rPr>
          <w:rFonts w:ascii="Times New Roman" w:hAnsi="Times New Roman" w:cs="Times New Roman"/>
          <w:b/>
          <w:bCs/>
          <w:highlight w:val="none"/>
        </w:rPr>
      </w:pPr>
    </w:p>
    <w:p>
      <w:pPr>
        <w:jc w:val="left"/>
        <w:rPr>
          <w:rFonts w:ascii="Times New Roman" w:hAnsi="Times New Roman" w:cs="Times New Roman"/>
          <w:b/>
          <w:bCs/>
          <w:highlight w:val="none"/>
        </w:rPr>
      </w:pPr>
      <w:r>
        <w:rPr>
          <w:rFonts w:hint="eastAsia" w:ascii="Times New Roman" w:hAnsi="Times New Roman" w:cs="Times New Roman"/>
          <w:b/>
          <w:bCs/>
          <w:highlight w:val="none"/>
        </w:rPr>
        <w:drawing>
          <wp:inline distT="0" distB="0" distL="114300" distR="114300">
            <wp:extent cx="4661535" cy="4664075"/>
            <wp:effectExtent l="0" t="0" r="1905" b="14605"/>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tretch>
                      <a:fillRect/>
                    </a:stretch>
                  </pic:blipFill>
                  <pic:spPr>
                    <a:xfrm>
                      <a:off x="0" y="0"/>
                      <a:ext cx="4661535" cy="4664075"/>
                    </a:xfrm>
                    <a:prstGeom prst="rect">
                      <a:avLst/>
                    </a:prstGeom>
                  </pic:spPr>
                </pic:pic>
              </a:graphicData>
            </a:graphic>
          </wp:inline>
        </w:drawing>
      </w:r>
    </w:p>
    <w:p>
      <w:pPr>
        <w:jc w:val="left"/>
        <w:rPr>
          <w:rFonts w:ascii="Times New Roman" w:hAnsi="Times New Roman" w:cs="Times New Roman"/>
          <w:b/>
          <w:bCs/>
          <w:highlight w:val="none"/>
        </w:rPr>
      </w:pPr>
    </w:p>
    <w:p>
      <w:pPr>
        <w:jc w:val="left"/>
        <w:rPr>
          <w:rFonts w:hint="eastAsia" w:ascii="Times New Roman" w:hAnsi="Times New Roman" w:cs="Times New Roman"/>
          <w:b/>
          <w:bCs/>
          <w:highlight w:val="none"/>
        </w:rPr>
      </w:pPr>
      <w:r>
        <w:rPr>
          <w:rFonts w:hint="eastAsia" w:ascii="Times New Roman" w:hAnsi="Times New Roman" w:cs="Times New Roman"/>
          <w:b/>
          <w:bCs/>
          <w:highlight w:val="none"/>
        </w:rPr>
        <w:t xml:space="preserve">Supplemental figure 1 (figure S1). The negative control of immunofluorescent with mouse antibodies. </w:t>
      </w:r>
    </w:p>
    <w:p>
      <w:pPr>
        <w:jc w:val="left"/>
        <w:rPr>
          <w:rFonts w:ascii="Times New Roman" w:hAnsi="Times New Roman" w:cs="Times New Roman"/>
          <w:b/>
          <w:bCs/>
          <w:highlight w:val="none"/>
        </w:rPr>
      </w:pPr>
      <w:r>
        <w:rPr>
          <w:rFonts w:hint="eastAsia" w:ascii="Times New Roman" w:hAnsi="Times New Roman" w:cs="Times New Roman"/>
          <w:b/>
          <w:bCs/>
          <w:highlight w:val="none"/>
        </w:rPr>
        <w:t>The sections were stained with PBS (A), IgG2a Mouse IgG2a kappa Monoclonal (B), CaSR primary antibody with CaSR fusion protein (C), CaSR primary antibody (D), and the anti-mouse secondary antibodies. The tissue between the two white dotted lines is the full zone condyle cartilage, and above the yellow dotted line is the condyle superficial zone cartilage. Scale bar, 100μm.</w:t>
      </w:r>
    </w:p>
    <w:p>
      <w:pPr>
        <w:rPr>
          <w:rFonts w:ascii="Times New Roman" w:hAnsi="Times New Roman" w:cs="Times New Roman"/>
          <w:b/>
          <w:bCs/>
          <w:highlight w:val="none"/>
        </w:rPr>
      </w:pPr>
      <w:r>
        <w:rPr>
          <w:highlight w:val="none"/>
        </w:rPr>
        <w:drawing>
          <wp:inline distT="0" distB="0" distL="0" distR="0">
            <wp:extent cx="5274310" cy="194754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1947545"/>
                    </a:xfrm>
                    <a:prstGeom prst="rect">
                      <a:avLst/>
                    </a:prstGeom>
                    <a:noFill/>
                    <a:ln>
                      <a:noFill/>
                    </a:ln>
                  </pic:spPr>
                </pic:pic>
              </a:graphicData>
            </a:graphic>
          </wp:inline>
        </w:drawing>
      </w:r>
    </w:p>
    <w:p>
      <w:pPr>
        <w:rPr>
          <w:rFonts w:ascii="Times New Roman" w:hAnsi="Times New Roman" w:cs="Times New Roman"/>
          <w:b/>
          <w:bCs/>
          <w:highlight w:val="none"/>
        </w:rPr>
      </w:pPr>
    </w:p>
    <w:p>
      <w:pPr>
        <w:rPr>
          <w:rFonts w:ascii="Times New Roman" w:hAnsi="Times New Roman" w:eastAsia="PalatinoLinotype" w:cs="Times New Roman"/>
          <w:kern w:val="0"/>
          <w:sz w:val="24"/>
          <w:highlight w:val="none"/>
          <w:lang w:bidi="ar"/>
        </w:rPr>
      </w:pPr>
      <w:r>
        <w:rPr>
          <w:rFonts w:ascii="Times New Roman" w:hAnsi="Times New Roman" w:eastAsia="PalatinoLinotype" w:cs="Times New Roman"/>
          <w:b/>
          <w:bCs/>
          <w:kern w:val="0"/>
          <w:sz w:val="24"/>
          <w:highlight w:val="none"/>
          <w:lang w:bidi="ar"/>
        </w:rPr>
        <w:t>Supplemental figure 2</w:t>
      </w:r>
      <w:r>
        <w:rPr>
          <w:rFonts w:ascii="Times New Roman" w:hAnsi="Times New Roman" w:eastAsia="宋体" w:cs="Times New Roman"/>
          <w:b/>
          <w:bCs/>
          <w:kern w:val="0"/>
          <w:sz w:val="24"/>
          <w:highlight w:val="none"/>
          <w:lang w:bidi="ar"/>
        </w:rPr>
        <w:t xml:space="preserve"> (figure S2)</w:t>
      </w:r>
      <w:r>
        <w:rPr>
          <w:rFonts w:ascii="Times New Roman" w:hAnsi="Times New Roman" w:eastAsia="PalatinoLinotype" w:cs="Times New Roman"/>
          <w:b/>
          <w:bCs/>
          <w:kern w:val="0"/>
          <w:sz w:val="24"/>
          <w:highlight w:val="none"/>
          <w:lang w:bidi="ar"/>
        </w:rPr>
        <w:t>.</w:t>
      </w:r>
      <w:r>
        <w:rPr>
          <w:rFonts w:ascii="Times New Roman" w:hAnsi="Times New Roman" w:eastAsia="PalatinoLinotype" w:cs="Times New Roman"/>
          <w:kern w:val="0"/>
          <w:sz w:val="24"/>
          <w:highlight w:val="none"/>
          <w:lang w:bidi="ar"/>
        </w:rPr>
        <w:t xml:space="preserve"> The expression of Prg4 in condylar cartilage </w:t>
      </w:r>
      <w:r>
        <w:rPr>
          <w:rFonts w:ascii="Times New Roman" w:hAnsi="Times New Roman" w:eastAsia="宋体" w:cs="Times New Roman"/>
          <w:kern w:val="0"/>
          <w:sz w:val="24"/>
          <w:highlight w:val="none"/>
          <w:lang w:bidi="ar"/>
        </w:rPr>
        <w:t>of mice.</w:t>
      </w:r>
      <w:r>
        <w:rPr>
          <w:rFonts w:ascii="Times New Roman" w:hAnsi="Times New Roman" w:eastAsia="PalatinoLinotype" w:cs="Times New Roman"/>
          <w:kern w:val="0"/>
          <w:sz w:val="24"/>
          <w:highlight w:val="none"/>
          <w:lang w:bidi="ar"/>
        </w:rPr>
        <w:t xml:space="preserve"> </w:t>
      </w:r>
    </w:p>
    <w:p>
      <w:pPr>
        <w:rPr>
          <w:highlight w:val="none"/>
        </w:rPr>
      </w:pPr>
      <w:r>
        <w:rPr>
          <w:rFonts w:ascii="Times New Roman" w:hAnsi="Times New Roman" w:eastAsia="PalatinoLinotype" w:cs="Times New Roman"/>
          <w:kern w:val="0"/>
          <w:sz w:val="24"/>
          <w:highlight w:val="none"/>
          <w:lang w:bidi="ar"/>
        </w:rPr>
        <w:t xml:space="preserve">(A) IF staining of TMJ condylar cartilage of 6-week-old </w:t>
      </w:r>
      <w:r>
        <w:rPr>
          <w:rFonts w:ascii="Times New Roman" w:hAnsi="Times New Roman" w:eastAsia="PalatinoLinotype" w:cs="Times New Roman"/>
          <w:i/>
          <w:iCs/>
          <w:kern w:val="0"/>
          <w:sz w:val="24"/>
          <w:highlight w:val="none"/>
          <w:lang w:bidi="ar"/>
        </w:rPr>
        <w:t>TDT</w:t>
      </w:r>
      <w:r>
        <w:rPr>
          <w:rFonts w:ascii="Times New Roman" w:hAnsi="Times New Roman" w:eastAsia="PalatinoLinotype" w:cs="Times New Roman"/>
          <w:kern w:val="0"/>
          <w:sz w:val="24"/>
          <w:highlight w:val="none"/>
          <w:lang w:bidi="ar"/>
        </w:rPr>
        <w:t>-</w:t>
      </w:r>
      <w:r>
        <w:rPr>
          <w:rFonts w:ascii="Times New Roman" w:hAnsi="Times New Roman" w:eastAsia="PalatinoLinotype" w:cs="Times New Roman"/>
          <w:i/>
          <w:iCs/>
          <w:kern w:val="0"/>
          <w:sz w:val="24"/>
          <w:highlight w:val="none"/>
          <w:lang w:bidi="ar"/>
        </w:rPr>
        <w:t>Prg4-Cre</w:t>
      </w:r>
      <w:r>
        <w:rPr>
          <w:rFonts w:ascii="Times New Roman" w:hAnsi="Times New Roman" w:eastAsia="宋体" w:cs="Times New Roman"/>
          <w:i/>
          <w:iCs/>
          <w:kern w:val="0"/>
          <w:sz w:val="24"/>
          <w:highlight w:val="none"/>
          <w:vertAlign w:val="superscript"/>
          <w:lang w:bidi="ar"/>
        </w:rPr>
        <w:t>ERT2</w:t>
      </w:r>
      <w:r>
        <w:rPr>
          <w:rFonts w:ascii="Times New Roman" w:hAnsi="Times New Roman" w:eastAsia="PalatinoLinotype" w:cs="Times New Roman"/>
          <w:kern w:val="0"/>
          <w:sz w:val="24"/>
          <w:highlight w:val="none"/>
          <w:lang w:bidi="ar"/>
        </w:rPr>
        <w:t xml:space="preserve"> mice, which was intraperitoneally injected with tamoxifen for 3-days. Prg4-Positive cells were all located in the superficial zone of cartilage. (B) The statistics of cartilage thickness expressing Prg4+ of mice.</w:t>
      </w:r>
      <w:r>
        <w:rPr>
          <w:rFonts w:ascii="Times New Roman" w:hAnsi="Times New Roman" w:eastAsia="宋体" w:cs="Times New Roman"/>
          <w:kern w:val="0"/>
          <w:sz w:val="24"/>
          <w:highlight w:val="none"/>
          <w:lang w:bidi="ar"/>
        </w:rPr>
        <w:t xml:space="preserve"> </w:t>
      </w:r>
      <w:r>
        <w:rPr>
          <w:rFonts w:ascii="Times New Roman" w:hAnsi="Times New Roman" w:eastAsia="Helvetica" w:cs="Times New Roman"/>
          <w:sz w:val="24"/>
          <w:highlight w:val="none"/>
          <w:lang w:bidi="ar"/>
        </w:rPr>
        <w:t xml:space="preserve">The tissue between the two white dotted lines is the full zone condyle cartilage, and above the yellow dotted line is the condyle superficial zone cartilage. </w:t>
      </w:r>
      <w:r>
        <w:rPr>
          <w:rFonts w:ascii="Times New Roman" w:hAnsi="Times New Roman" w:eastAsia="Lato-Regular" w:cs="Times New Roman"/>
          <w:kern w:val="0"/>
          <w:sz w:val="24"/>
          <w:highlight w:val="none"/>
          <w:lang w:bidi="ar"/>
        </w:rPr>
        <w:t>Scale bar, 100</w:t>
      </w:r>
      <w:r>
        <w:rPr>
          <w:rFonts w:ascii="Times New Roman" w:hAnsi="Times New Roman" w:eastAsia="Palatino Linotype" w:cs="Times New Roman"/>
          <w:kern w:val="0"/>
          <w:sz w:val="24"/>
          <w:highlight w:val="none"/>
          <w:lang w:bidi="ar"/>
        </w:rPr>
        <w:t>μ</w:t>
      </w:r>
      <w:r>
        <w:rPr>
          <w:rFonts w:ascii="Times New Roman" w:hAnsi="Times New Roman" w:eastAsia="PalatinoLinotype" w:cs="Times New Roman"/>
          <w:kern w:val="0"/>
          <w:sz w:val="24"/>
          <w:highlight w:val="none"/>
          <w:lang w:bidi="ar"/>
        </w:rPr>
        <w:t>m. n=6. Values are represented as the mean with lower and upper limits of 95% CI.</w:t>
      </w:r>
    </w:p>
    <w:p>
      <w:pPr>
        <w:rPr>
          <w:rFonts w:ascii="Times New Roman" w:hAnsi="Times New Roman" w:cs="Times New Roman"/>
          <w:b/>
          <w:bCs/>
          <w:highlight w:val="none"/>
        </w:rPr>
      </w:pPr>
    </w:p>
    <w:p>
      <w:pPr>
        <w:rPr>
          <w:rFonts w:ascii="Times New Roman" w:hAnsi="Times New Roman" w:cs="Times New Roman"/>
          <w:b/>
          <w:bCs/>
          <w:highlight w:val="none"/>
        </w:rPr>
      </w:pPr>
    </w:p>
    <w:p>
      <w:pPr>
        <w:rPr>
          <w:rFonts w:ascii="Times New Roman" w:hAnsi="Times New Roman" w:cs="Times New Roman"/>
          <w:b/>
          <w:bCs/>
          <w:highlight w:val="none"/>
        </w:rPr>
      </w:pPr>
      <w:r>
        <w:rPr>
          <w:highlight w:val="none"/>
        </w:rPr>
        <w:drawing>
          <wp:inline distT="0" distB="0" distL="0" distR="0">
            <wp:extent cx="5274310" cy="209677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2096770"/>
                    </a:xfrm>
                    <a:prstGeom prst="rect">
                      <a:avLst/>
                    </a:prstGeom>
                    <a:noFill/>
                    <a:ln>
                      <a:noFill/>
                    </a:ln>
                  </pic:spPr>
                </pic:pic>
              </a:graphicData>
            </a:graphic>
          </wp:inline>
        </w:drawing>
      </w:r>
    </w:p>
    <w:p>
      <w:pPr>
        <w:rPr>
          <w:rFonts w:ascii="Times New Roman" w:hAnsi="Times New Roman" w:cs="Times New Roman"/>
          <w:b/>
          <w:bCs/>
          <w:highlight w:val="none"/>
        </w:rPr>
      </w:pPr>
    </w:p>
    <w:p>
      <w:pPr>
        <w:rPr>
          <w:rFonts w:ascii="Times New Roman" w:hAnsi="Times New Roman" w:eastAsia="PalatinoLinotype" w:cs="Times New Roman"/>
          <w:kern w:val="0"/>
          <w:sz w:val="24"/>
          <w:highlight w:val="none"/>
          <w:lang w:bidi="ar"/>
        </w:rPr>
      </w:pPr>
      <w:r>
        <w:rPr>
          <w:rFonts w:ascii="Times New Roman" w:hAnsi="Times New Roman" w:eastAsia="PalatinoLinotype" w:cs="Times New Roman"/>
          <w:b/>
          <w:bCs/>
          <w:kern w:val="0"/>
          <w:sz w:val="24"/>
          <w:highlight w:val="none"/>
          <w:lang w:bidi="ar"/>
        </w:rPr>
        <w:t>Supplemental figure 3</w:t>
      </w:r>
      <w:r>
        <w:rPr>
          <w:rFonts w:ascii="Times New Roman" w:hAnsi="Times New Roman" w:eastAsia="宋体" w:cs="Times New Roman"/>
          <w:b/>
          <w:bCs/>
          <w:kern w:val="0"/>
          <w:sz w:val="24"/>
          <w:highlight w:val="none"/>
          <w:lang w:bidi="ar"/>
        </w:rPr>
        <w:t xml:space="preserve"> (figure S3)</w:t>
      </w:r>
      <w:r>
        <w:rPr>
          <w:rFonts w:ascii="Times New Roman" w:hAnsi="Times New Roman" w:eastAsia="PalatinoLinotype" w:cs="Times New Roman"/>
          <w:b/>
          <w:bCs/>
          <w:kern w:val="0"/>
          <w:sz w:val="24"/>
          <w:highlight w:val="none"/>
          <w:lang w:bidi="ar"/>
        </w:rPr>
        <w:t>.</w:t>
      </w:r>
      <w:r>
        <w:rPr>
          <w:rFonts w:ascii="Times New Roman" w:hAnsi="Times New Roman" w:eastAsia="PalatinoLinotype" w:cs="Times New Roman"/>
          <w:kern w:val="0"/>
          <w:sz w:val="24"/>
          <w:highlight w:val="none"/>
          <w:lang w:bidi="ar"/>
        </w:rPr>
        <w:t xml:space="preserve"> Cell phenotype of each layer of condylar cartilage. </w:t>
      </w:r>
    </w:p>
    <w:p>
      <w:pPr>
        <w:rPr>
          <w:highlight w:val="none"/>
        </w:rPr>
      </w:pPr>
      <w:r>
        <w:rPr>
          <w:rFonts w:ascii="Times New Roman" w:hAnsi="Times New Roman" w:eastAsia="PalatinoLinotype" w:cs="Times New Roman"/>
          <w:kern w:val="0"/>
          <w:sz w:val="24"/>
          <w:highlight w:val="none"/>
          <w:lang w:bidi="ar"/>
        </w:rPr>
        <w:t>(A) HE staining of the superficial zone, deep zone, and full zone TMJ cartilage from 3-week-old</w:t>
      </w:r>
      <w:r>
        <w:rPr>
          <w:rFonts w:ascii="Times New Roman" w:hAnsi="Times New Roman" w:eastAsia="宋体" w:cs="Times New Roman"/>
          <w:kern w:val="0"/>
          <w:sz w:val="24"/>
          <w:highlight w:val="none"/>
          <w:lang w:bidi="ar"/>
        </w:rPr>
        <w:t xml:space="preserve"> </w:t>
      </w:r>
      <w:r>
        <w:rPr>
          <w:rFonts w:ascii="Times New Roman" w:hAnsi="Times New Roman" w:eastAsia="PalatinoLinotype" w:cs="Times New Roman"/>
          <w:kern w:val="0"/>
          <w:sz w:val="24"/>
          <w:highlight w:val="none"/>
          <w:lang w:bidi="ar"/>
        </w:rPr>
        <w:t xml:space="preserve">female rats. (B)The statistics of the thickness of rats’ superficial zone and full zone condylar cartilage. The tissue </w:t>
      </w:r>
      <w:r>
        <w:rPr>
          <w:rFonts w:ascii="Times New Roman" w:hAnsi="Times New Roman" w:eastAsia="Helvetica" w:cs="Times New Roman"/>
          <w:sz w:val="24"/>
          <w:highlight w:val="none"/>
          <w:lang w:bidi="ar"/>
        </w:rPr>
        <w:t>above the yellow dotted line is the condyle superficial zone cartilage. Scale bar, 100</w:t>
      </w:r>
      <w:r>
        <w:rPr>
          <w:rFonts w:ascii="Helvetica" w:hAnsi="Helvetica" w:eastAsia="Helvetica" w:cs="Helvetica"/>
          <w:sz w:val="24"/>
          <w:highlight w:val="none"/>
          <w:lang w:bidi="ar"/>
        </w:rPr>
        <w:t>μ</w:t>
      </w:r>
      <w:r>
        <w:rPr>
          <w:rFonts w:ascii="Times New Roman" w:hAnsi="Times New Roman" w:eastAsia="Helvetica" w:cs="Times New Roman"/>
          <w:sz w:val="24"/>
          <w:highlight w:val="none"/>
          <w:lang w:bidi="ar"/>
        </w:rPr>
        <w:t>m. n= 6.</w:t>
      </w:r>
      <w:r>
        <w:rPr>
          <w:rFonts w:hint="eastAsia" w:ascii="Times New Roman" w:hAnsi="Times New Roman" w:eastAsia="宋体" w:cs="Times New Roman"/>
          <w:sz w:val="24"/>
          <w:highlight w:val="none"/>
          <w:lang w:bidi="ar"/>
        </w:rPr>
        <w:t xml:space="preserve"> </w:t>
      </w:r>
      <w:r>
        <w:rPr>
          <w:rFonts w:ascii="Times New Roman" w:hAnsi="Times New Roman" w:eastAsia="PalatinoLinotype" w:cs="Times New Roman"/>
          <w:kern w:val="0"/>
          <w:sz w:val="24"/>
          <w:highlight w:val="none"/>
          <w:lang w:bidi="ar"/>
        </w:rPr>
        <w:t>Values are represented as the mean with lower and upper limits of 95% CI.</w:t>
      </w:r>
    </w:p>
    <w:p>
      <w:pPr>
        <w:rPr>
          <w:rFonts w:ascii="Times New Roman" w:hAnsi="Times New Roman" w:eastAsia="宋体" w:cs="Times New Roman"/>
          <w:color w:val="000000"/>
          <w:kern w:val="0"/>
          <w:szCs w:val="21"/>
          <w:highlight w:val="none"/>
          <w:lang w:bidi="ar"/>
        </w:rPr>
      </w:pPr>
    </w:p>
    <w:p>
      <w:pPr>
        <w:jc w:val="left"/>
        <w:rPr>
          <w:rFonts w:ascii="Times New Roman" w:hAnsi="Times New Roman" w:eastAsia="宋体" w:cs="Times New Roman"/>
          <w:color w:val="000000"/>
          <w:kern w:val="0"/>
          <w:sz w:val="24"/>
          <w:highlight w:val="none"/>
          <w:lang w:bidi="ar"/>
        </w:rPr>
      </w:pPr>
      <w:r>
        <w:rPr>
          <w:rFonts w:ascii="Times New Roman" w:hAnsi="Times New Roman" w:eastAsia="宋体" w:cs="Times New Roman"/>
          <w:color w:val="000000"/>
          <w:kern w:val="0"/>
          <w:sz w:val="24"/>
          <w:highlight w:val="none"/>
          <w:lang w:bidi="ar"/>
        </w:rPr>
        <w:t xml:space="preserve"> </w:t>
      </w:r>
    </w:p>
    <w:p>
      <w:pPr>
        <w:jc w:val="left"/>
        <w:rPr>
          <w:rFonts w:ascii="Times New Roman" w:hAnsi="Times New Roman" w:eastAsia="宋体" w:cs="Times New Roman"/>
          <w:color w:val="000000"/>
          <w:kern w:val="0"/>
          <w:szCs w:val="21"/>
          <w:highlight w:val="none"/>
          <w:lang w:bidi="ar"/>
        </w:rPr>
      </w:pPr>
    </w:p>
    <w:p>
      <w:pPr>
        <w:rPr>
          <w:rFonts w:ascii="Times New Roman" w:hAnsi="Times New Roman" w:eastAsia="宋体" w:cs="Times New Roman"/>
          <w:color w:val="000000"/>
          <w:kern w:val="0"/>
          <w:szCs w:val="21"/>
          <w:highlight w:val="none"/>
          <w:lang w:bidi="ar"/>
        </w:rPr>
      </w:pPr>
      <w:r>
        <w:rPr>
          <w:highlight w:val="none"/>
        </w:rPr>
        <w:drawing>
          <wp:inline distT="0" distB="0" distL="0" distR="0">
            <wp:extent cx="5274310" cy="4721860"/>
            <wp:effectExtent l="0" t="0" r="254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4721860"/>
                    </a:xfrm>
                    <a:prstGeom prst="rect">
                      <a:avLst/>
                    </a:prstGeom>
                    <a:noFill/>
                    <a:ln>
                      <a:noFill/>
                    </a:ln>
                  </pic:spPr>
                </pic:pic>
              </a:graphicData>
            </a:graphic>
          </wp:inline>
        </w:drawing>
      </w:r>
    </w:p>
    <w:p>
      <w:pPr>
        <w:rPr>
          <w:rFonts w:ascii="Times New Roman" w:hAnsi="Times New Roman" w:eastAsia="宋体" w:cs="Times New Roman"/>
          <w:color w:val="000000"/>
          <w:kern w:val="0"/>
          <w:szCs w:val="21"/>
          <w:highlight w:val="none"/>
          <w:lang w:bidi="ar"/>
        </w:rPr>
      </w:pPr>
    </w:p>
    <w:p>
      <w:pPr>
        <w:widowControl/>
        <w:rPr>
          <w:rFonts w:ascii="Times New Roman" w:hAnsi="Times New Roman" w:eastAsia="PalatinoLinotype" w:cs="Times New Roman"/>
          <w:kern w:val="0"/>
          <w:sz w:val="24"/>
          <w:highlight w:val="none"/>
          <w:lang w:bidi="ar"/>
        </w:rPr>
      </w:pPr>
      <w:r>
        <w:rPr>
          <w:rFonts w:ascii="Times New Roman" w:hAnsi="Times New Roman" w:eastAsia="PalatinoLinotype" w:cs="Times New Roman"/>
          <w:b/>
          <w:bCs/>
          <w:kern w:val="0"/>
          <w:sz w:val="24"/>
          <w:highlight w:val="none"/>
          <w:lang w:bidi="ar"/>
        </w:rPr>
        <w:t>Supplemental figure 4</w:t>
      </w:r>
      <w:r>
        <w:rPr>
          <w:rFonts w:ascii="Times New Roman" w:hAnsi="Times New Roman" w:eastAsia="宋体" w:cs="Times New Roman"/>
          <w:b/>
          <w:bCs/>
          <w:kern w:val="0"/>
          <w:sz w:val="24"/>
          <w:highlight w:val="none"/>
          <w:lang w:bidi="ar"/>
        </w:rPr>
        <w:t xml:space="preserve"> (figure S4)</w:t>
      </w:r>
      <w:r>
        <w:rPr>
          <w:rFonts w:ascii="Times New Roman" w:hAnsi="Times New Roman" w:eastAsia="PalatinoLinotype" w:cs="Times New Roman"/>
          <w:b/>
          <w:bCs/>
          <w:kern w:val="0"/>
          <w:sz w:val="24"/>
          <w:highlight w:val="none"/>
          <w:lang w:bidi="ar"/>
        </w:rPr>
        <w:t>.</w:t>
      </w:r>
      <w:r>
        <w:rPr>
          <w:rFonts w:ascii="Times New Roman" w:hAnsi="Times New Roman" w:eastAsia="PalatinoLinotype" w:cs="Times New Roman"/>
          <w:kern w:val="0"/>
          <w:sz w:val="24"/>
          <w:highlight w:val="none"/>
          <w:lang w:bidi="ar"/>
        </w:rPr>
        <w:t xml:space="preserve"> The timeline of the whole process of the experiment and genotyping of mice. </w:t>
      </w:r>
    </w:p>
    <w:p>
      <w:pPr>
        <w:widowControl/>
        <w:rPr>
          <w:rFonts w:hint="eastAsia" w:ascii="Times New Roman" w:hAnsi="Times New Roman" w:cs="Times New Roman"/>
          <w:kern w:val="0"/>
          <w:sz w:val="24"/>
          <w:highlight w:val="none"/>
        </w:rPr>
      </w:pPr>
      <w:r>
        <w:rPr>
          <w:rFonts w:ascii="Times New Roman" w:hAnsi="Times New Roman" w:eastAsia="宋体" w:cs="Times New Roman"/>
          <w:kern w:val="0"/>
          <w:sz w:val="24"/>
          <w:highlight w:val="none"/>
          <w:lang w:bidi="ar"/>
        </w:rPr>
        <w:t xml:space="preserve">(A) </w:t>
      </w:r>
      <w:r>
        <w:rPr>
          <w:rFonts w:ascii="Times New Roman" w:hAnsi="Times New Roman" w:eastAsia="PalatinoLinotype" w:cs="Times New Roman"/>
          <w:kern w:val="0"/>
          <w:sz w:val="24"/>
          <w:highlight w:val="none"/>
          <w:lang w:bidi="ar"/>
        </w:rPr>
        <w:t xml:space="preserve">At 6 weeks of age, </w:t>
      </w:r>
      <w:bookmarkStart w:id="0" w:name="_GoBack"/>
      <w:r>
        <w:rPr>
          <w:rFonts w:ascii="Times New Roman" w:hAnsi="Times New Roman" w:eastAsia="PalatinoLinotype" w:cs="Times New Roman"/>
          <w:i/>
          <w:iCs/>
          <w:kern w:val="0"/>
          <w:sz w:val="24"/>
          <w:highlight w:val="none"/>
          <w:lang w:bidi="ar"/>
        </w:rPr>
        <w:t>Ca</w:t>
      </w:r>
      <w:bookmarkEnd w:id="0"/>
      <w:r>
        <w:rPr>
          <w:rFonts w:ascii="Times New Roman" w:hAnsi="Times New Roman" w:eastAsia="PalatinoLinotype" w:cs="Times New Roman"/>
          <w:i/>
          <w:iCs/>
          <w:kern w:val="0"/>
          <w:sz w:val="24"/>
          <w:highlight w:val="none"/>
          <w:lang w:bidi="ar"/>
        </w:rPr>
        <w:t>SR</w:t>
      </w:r>
      <w:r>
        <w:rPr>
          <w:rFonts w:ascii="Times New Roman" w:hAnsi="Times New Roman" w:eastAsia="PalatinoLinotype" w:cs="Times New Roman"/>
          <w:i/>
          <w:iCs/>
          <w:kern w:val="0"/>
          <w:sz w:val="24"/>
          <w:highlight w:val="none"/>
          <w:vertAlign w:val="superscript"/>
          <w:lang w:bidi="ar"/>
        </w:rPr>
        <w:t>flox/flox</w:t>
      </w:r>
      <w:r>
        <w:rPr>
          <w:rFonts w:ascii="Times New Roman" w:hAnsi="Times New Roman" w:eastAsia="宋体" w:cs="Times New Roman"/>
          <w:kern w:val="0"/>
          <w:sz w:val="24"/>
          <w:highlight w:val="none"/>
          <w:lang w:bidi="ar"/>
        </w:rPr>
        <w:t xml:space="preserve">; </w:t>
      </w:r>
      <w:r>
        <w:rPr>
          <w:rFonts w:ascii="Times New Roman" w:hAnsi="Times New Roman" w:eastAsia="PalatinoLinotype" w:cs="Times New Roman"/>
          <w:i/>
          <w:iCs/>
          <w:kern w:val="0"/>
          <w:sz w:val="24"/>
          <w:highlight w:val="none"/>
          <w:lang w:bidi="ar"/>
        </w:rPr>
        <w:t>Prg4-Cre</w:t>
      </w:r>
      <w:r>
        <w:rPr>
          <w:rFonts w:ascii="Times New Roman" w:hAnsi="Times New Roman" w:eastAsia="宋体" w:cs="Times New Roman"/>
          <w:i/>
          <w:iCs/>
          <w:kern w:val="0"/>
          <w:sz w:val="24"/>
          <w:highlight w:val="none"/>
          <w:vertAlign w:val="superscript"/>
          <w:lang w:bidi="ar"/>
        </w:rPr>
        <w:t>ERT2</w:t>
      </w:r>
      <w:r>
        <w:rPr>
          <w:rFonts w:ascii="Times New Roman" w:hAnsi="Times New Roman" w:eastAsia="PalatinoLinotype" w:cs="Times New Roman"/>
          <w:kern w:val="0"/>
          <w:sz w:val="24"/>
          <w:highlight w:val="none"/>
          <w:lang w:bidi="ar"/>
        </w:rPr>
        <w:t xml:space="preserve"> and </w:t>
      </w:r>
      <w:r>
        <w:rPr>
          <w:rFonts w:ascii="Times New Roman" w:hAnsi="Times New Roman" w:eastAsia="PalatinoLinotype" w:cs="Times New Roman"/>
          <w:i/>
          <w:iCs/>
          <w:kern w:val="0"/>
          <w:sz w:val="24"/>
          <w:highlight w:val="none"/>
          <w:lang w:bidi="ar"/>
        </w:rPr>
        <w:t>PTHrP</w:t>
      </w:r>
      <w:r>
        <w:rPr>
          <w:rFonts w:ascii="Times New Roman" w:hAnsi="Times New Roman" w:eastAsia="PalatinoLinotype" w:cs="Times New Roman"/>
          <w:i/>
          <w:iCs/>
          <w:kern w:val="0"/>
          <w:sz w:val="24"/>
          <w:highlight w:val="none"/>
          <w:vertAlign w:val="superscript"/>
          <w:lang w:bidi="ar"/>
        </w:rPr>
        <w:t>flox/flox</w:t>
      </w:r>
      <w:r>
        <w:rPr>
          <w:rFonts w:ascii="Times New Roman" w:hAnsi="Times New Roman" w:eastAsia="宋体" w:cs="Times New Roman"/>
          <w:kern w:val="0"/>
          <w:sz w:val="24"/>
          <w:highlight w:val="none"/>
          <w:lang w:bidi="ar"/>
        </w:rPr>
        <w:t>;</w:t>
      </w:r>
      <w:r>
        <w:rPr>
          <w:rFonts w:ascii="Times New Roman" w:hAnsi="Times New Roman" w:eastAsia="PalatinoLinotype" w:cs="Times New Roman"/>
          <w:i/>
          <w:iCs/>
          <w:kern w:val="0"/>
          <w:sz w:val="24"/>
          <w:highlight w:val="none"/>
          <w:lang w:bidi="ar"/>
        </w:rPr>
        <w:t xml:space="preserve"> Prg4-Cre</w:t>
      </w:r>
      <w:r>
        <w:rPr>
          <w:rFonts w:ascii="Times New Roman" w:hAnsi="Times New Roman" w:eastAsia="宋体" w:cs="Times New Roman"/>
          <w:i/>
          <w:iCs/>
          <w:kern w:val="0"/>
          <w:sz w:val="24"/>
          <w:highlight w:val="none"/>
          <w:vertAlign w:val="superscript"/>
          <w:lang w:bidi="ar"/>
        </w:rPr>
        <w:t>ERT2</w:t>
      </w:r>
      <w:r>
        <w:rPr>
          <w:rFonts w:ascii="Times New Roman" w:hAnsi="Times New Roman" w:eastAsia="PalatinoLinotype" w:cs="Times New Roman"/>
          <w:i/>
          <w:iCs/>
          <w:kern w:val="0"/>
          <w:sz w:val="24"/>
          <w:highlight w:val="none"/>
          <w:vertAlign w:val="superscript"/>
          <w:lang w:bidi="ar"/>
        </w:rPr>
        <w:t xml:space="preserve"> </w:t>
      </w:r>
      <w:r>
        <w:rPr>
          <w:rFonts w:ascii="Times New Roman" w:hAnsi="Times New Roman" w:eastAsia="PalatinoLinotype" w:cs="Times New Roman"/>
          <w:kern w:val="0"/>
          <w:sz w:val="24"/>
          <w:highlight w:val="none"/>
          <w:lang w:bidi="ar"/>
        </w:rPr>
        <w:t xml:space="preserve">mice were treated with TM (0.1 mg/g of body weight for 5 days). On the second day, BAE was applied. If needed, local injection of </w:t>
      </w:r>
      <w:r>
        <w:rPr>
          <w:rFonts w:ascii="Times New Roman" w:hAnsi="Times New Roman" w:eastAsia="宋体" w:cs="Times New Roman"/>
          <w:kern w:val="0"/>
          <w:sz w:val="24"/>
          <w:highlight w:val="none"/>
          <w:lang w:bidi="ar"/>
        </w:rPr>
        <w:t>PTHrP</w:t>
      </w:r>
      <w:r>
        <w:rPr>
          <w:rFonts w:ascii="Times New Roman" w:hAnsi="Times New Roman" w:eastAsia="宋体" w:cs="Times New Roman"/>
          <w:kern w:val="0"/>
          <w:sz w:val="24"/>
          <w:highlight w:val="none"/>
          <w:vertAlign w:val="subscript"/>
          <w:lang w:bidi="ar"/>
        </w:rPr>
        <w:t>87-139</w:t>
      </w:r>
      <w:r>
        <w:rPr>
          <w:rFonts w:ascii="Times New Roman" w:hAnsi="Times New Roman" w:eastAsia="宋体" w:cs="Times New Roman"/>
          <w:kern w:val="0"/>
          <w:sz w:val="24"/>
          <w:highlight w:val="none"/>
          <w:lang w:bidi="ar"/>
        </w:rPr>
        <w:t xml:space="preserve"> peptide</w:t>
      </w:r>
      <w:r>
        <w:rPr>
          <w:rFonts w:ascii="Times New Roman" w:hAnsi="Times New Roman" w:eastAsia="PalatinoLinotype" w:cs="Times New Roman"/>
          <w:kern w:val="0"/>
          <w:sz w:val="24"/>
          <w:highlight w:val="none"/>
          <w:lang w:bidi="ar"/>
        </w:rPr>
        <w:t xml:space="preserve"> or Cinacalcet in TMJ was applied every 2 days at 9 weeks of age for 4 weeks. (B) Genotyping confirmed the presence of the Cre and flox transgene in </w:t>
      </w:r>
      <w:r>
        <w:rPr>
          <w:rFonts w:ascii="Times New Roman" w:hAnsi="Times New Roman" w:eastAsia="PalatinoLinotype" w:cs="Times New Roman"/>
          <w:i/>
          <w:iCs/>
          <w:kern w:val="0"/>
          <w:sz w:val="24"/>
          <w:highlight w:val="none"/>
          <w:lang w:bidi="ar"/>
        </w:rPr>
        <w:t>CaSR</w:t>
      </w:r>
      <w:r>
        <w:rPr>
          <w:rFonts w:ascii="Times New Roman" w:hAnsi="Times New Roman" w:eastAsia="PalatinoLinotype" w:cs="Times New Roman"/>
          <w:i/>
          <w:iCs/>
          <w:kern w:val="0"/>
          <w:sz w:val="24"/>
          <w:highlight w:val="none"/>
          <w:vertAlign w:val="superscript"/>
          <w:lang w:bidi="ar"/>
        </w:rPr>
        <w:t>flox/flox</w:t>
      </w:r>
      <w:r>
        <w:rPr>
          <w:rFonts w:ascii="Times New Roman" w:hAnsi="Times New Roman" w:eastAsia="宋体" w:cs="Times New Roman"/>
          <w:kern w:val="0"/>
          <w:sz w:val="24"/>
          <w:highlight w:val="none"/>
          <w:lang w:bidi="ar"/>
        </w:rPr>
        <w:t xml:space="preserve">; </w:t>
      </w:r>
      <w:r>
        <w:rPr>
          <w:rFonts w:ascii="Times New Roman" w:hAnsi="Times New Roman" w:eastAsia="PalatinoLinotype" w:cs="Times New Roman"/>
          <w:i/>
          <w:iCs/>
          <w:kern w:val="0"/>
          <w:sz w:val="24"/>
          <w:highlight w:val="none"/>
          <w:lang w:bidi="ar"/>
        </w:rPr>
        <w:t>Prg4-Cre</w:t>
      </w:r>
      <w:r>
        <w:rPr>
          <w:rFonts w:ascii="Times New Roman" w:hAnsi="Times New Roman" w:eastAsia="宋体" w:cs="Times New Roman"/>
          <w:i/>
          <w:iCs/>
          <w:kern w:val="0"/>
          <w:sz w:val="24"/>
          <w:highlight w:val="none"/>
          <w:vertAlign w:val="superscript"/>
          <w:lang w:bidi="ar"/>
        </w:rPr>
        <w:t>ERT2</w:t>
      </w:r>
      <w:r>
        <w:rPr>
          <w:rFonts w:ascii="Times New Roman" w:hAnsi="Times New Roman" w:eastAsia="PalatinoLinotype" w:cs="Times New Roman"/>
          <w:kern w:val="0"/>
          <w:sz w:val="24"/>
          <w:highlight w:val="none"/>
          <w:lang w:bidi="ar"/>
        </w:rPr>
        <w:t xml:space="preserve"> and </w:t>
      </w:r>
      <w:r>
        <w:rPr>
          <w:rFonts w:ascii="Times New Roman" w:hAnsi="Times New Roman" w:eastAsia="PalatinoLinotype" w:cs="Times New Roman"/>
          <w:i/>
          <w:iCs/>
          <w:kern w:val="0"/>
          <w:sz w:val="24"/>
          <w:highlight w:val="none"/>
          <w:lang w:bidi="ar"/>
        </w:rPr>
        <w:t>PTHrP</w:t>
      </w:r>
      <w:r>
        <w:rPr>
          <w:rFonts w:ascii="Times New Roman" w:hAnsi="Times New Roman" w:eastAsia="PalatinoLinotype" w:cs="Times New Roman"/>
          <w:i/>
          <w:iCs/>
          <w:kern w:val="0"/>
          <w:sz w:val="24"/>
          <w:highlight w:val="none"/>
          <w:vertAlign w:val="superscript"/>
          <w:lang w:bidi="ar"/>
        </w:rPr>
        <w:t>flox/flox</w:t>
      </w:r>
      <w:r>
        <w:rPr>
          <w:rFonts w:ascii="Times New Roman" w:hAnsi="Times New Roman" w:eastAsia="宋体" w:cs="Times New Roman"/>
          <w:kern w:val="0"/>
          <w:sz w:val="24"/>
          <w:highlight w:val="none"/>
          <w:lang w:bidi="ar"/>
        </w:rPr>
        <w:t>;</w:t>
      </w:r>
      <w:r>
        <w:rPr>
          <w:rFonts w:ascii="Times New Roman" w:hAnsi="Times New Roman" w:eastAsia="PalatinoLinotype" w:cs="Times New Roman"/>
          <w:kern w:val="0"/>
          <w:sz w:val="24"/>
          <w:highlight w:val="none"/>
          <w:lang w:bidi="ar"/>
        </w:rPr>
        <w:t xml:space="preserve"> </w:t>
      </w:r>
      <w:r>
        <w:rPr>
          <w:rFonts w:ascii="Times New Roman" w:hAnsi="Times New Roman" w:eastAsia="PalatinoLinotype" w:cs="Times New Roman"/>
          <w:i/>
          <w:iCs/>
          <w:kern w:val="0"/>
          <w:sz w:val="24"/>
          <w:highlight w:val="none"/>
          <w:lang w:bidi="ar"/>
        </w:rPr>
        <w:t>Prg4-Cre</w:t>
      </w:r>
      <w:r>
        <w:rPr>
          <w:rFonts w:ascii="Times New Roman" w:hAnsi="Times New Roman" w:eastAsia="宋体" w:cs="Times New Roman"/>
          <w:i/>
          <w:iCs/>
          <w:kern w:val="0"/>
          <w:sz w:val="24"/>
          <w:highlight w:val="none"/>
          <w:vertAlign w:val="superscript"/>
          <w:lang w:bidi="ar"/>
        </w:rPr>
        <w:t>ERT2</w:t>
      </w:r>
      <w:r>
        <w:rPr>
          <w:rFonts w:ascii="Times New Roman" w:hAnsi="Times New Roman" w:eastAsia="PalatinoLinotype" w:cs="Times New Roman"/>
          <w:kern w:val="0"/>
          <w:sz w:val="24"/>
          <w:highlight w:val="none"/>
          <w:lang w:bidi="ar"/>
        </w:rPr>
        <w:t xml:space="preserve"> homozygote mice and its absence in wild-type mice.</w:t>
      </w: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Linotyp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20B0604020202020204"/>
    <w:charset w:val="00"/>
    <w:family w:val="swiss"/>
    <w:pitch w:val="default"/>
    <w:sig w:usb0="00000000" w:usb1="00000000" w:usb2="00000009" w:usb3="00000000" w:csb0="000001FF" w:csb1="00000000"/>
  </w:font>
  <w:font w:name="Lato-Regular">
    <w:altName w:val="Segoe Print"/>
    <w:panose1 w:val="00000000000000000000"/>
    <w:charset w:val="00"/>
    <w:family w:val="auto"/>
    <w:pitch w:val="default"/>
    <w:sig w:usb0="00000000" w:usb1="00000000" w:usb2="00000000" w:usb3="00000000" w:csb0="00000000" w:csb1="00000000"/>
  </w:font>
  <w:font w:name="Palatino Linotype">
    <w:panose1 w:val="02040502050505030304"/>
    <w:charset w:val="00"/>
    <w:family w:val="roman"/>
    <w:pitch w:val="default"/>
    <w:sig w:usb0="E0000287" w:usb1="40000013"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VjYzlmZDg3NTU4MGJkZmFhZDY0NzZjNTlkNTRmMjEifQ=="/>
  </w:docVars>
  <w:rsids>
    <w:rsidRoot w:val="00172A27"/>
    <w:rsid w:val="00003E05"/>
    <w:rsid w:val="00005107"/>
    <w:rsid w:val="000C430C"/>
    <w:rsid w:val="001014A7"/>
    <w:rsid w:val="00172A27"/>
    <w:rsid w:val="00491446"/>
    <w:rsid w:val="00A85172"/>
    <w:rsid w:val="00B72C33"/>
    <w:rsid w:val="00B8028E"/>
    <w:rsid w:val="00CF5AA5"/>
    <w:rsid w:val="00E47303"/>
    <w:rsid w:val="00E54E4F"/>
    <w:rsid w:val="00F72CCC"/>
    <w:rsid w:val="096E6061"/>
    <w:rsid w:val="0A2D6CF8"/>
    <w:rsid w:val="0F0A0209"/>
    <w:rsid w:val="0FEF313F"/>
    <w:rsid w:val="10C115C5"/>
    <w:rsid w:val="163449A0"/>
    <w:rsid w:val="1731079A"/>
    <w:rsid w:val="17E84FAE"/>
    <w:rsid w:val="1C9223F8"/>
    <w:rsid w:val="1D916A93"/>
    <w:rsid w:val="1E6E1523"/>
    <w:rsid w:val="21551B9B"/>
    <w:rsid w:val="22B873A9"/>
    <w:rsid w:val="22EA2E9B"/>
    <w:rsid w:val="299F49A1"/>
    <w:rsid w:val="2C75132C"/>
    <w:rsid w:val="33843887"/>
    <w:rsid w:val="36AF5B1E"/>
    <w:rsid w:val="37F331C2"/>
    <w:rsid w:val="3CB70E7A"/>
    <w:rsid w:val="47672572"/>
    <w:rsid w:val="476D5B1D"/>
    <w:rsid w:val="4B7C3EEC"/>
    <w:rsid w:val="4D3E7BC8"/>
    <w:rsid w:val="4EED7016"/>
    <w:rsid w:val="4F2D4E83"/>
    <w:rsid w:val="53F82F12"/>
    <w:rsid w:val="540710CD"/>
    <w:rsid w:val="571D33DF"/>
    <w:rsid w:val="5A4858B1"/>
    <w:rsid w:val="5C4342BE"/>
    <w:rsid w:val="5C835DFA"/>
    <w:rsid w:val="5CFC6201"/>
    <w:rsid w:val="5EBF07D0"/>
    <w:rsid w:val="65990A43"/>
    <w:rsid w:val="680A74B2"/>
    <w:rsid w:val="6D70656A"/>
    <w:rsid w:val="704D774C"/>
    <w:rsid w:val="70BB3FB4"/>
    <w:rsid w:val="764E4C22"/>
    <w:rsid w:val="78A04ADE"/>
    <w:rsid w:val="7CB12C66"/>
    <w:rsid w:val="7D917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5">
    <w:name w:val="line number"/>
    <w:basedOn w:val="4"/>
    <w:qFormat/>
    <w:uiPriority w:val="0"/>
  </w:style>
  <w:style w:type="paragraph" w:customStyle="1" w:styleId="6">
    <w:name w:val="EndNote Bibliography"/>
    <w:basedOn w:val="1"/>
    <w:qFormat/>
    <w:uiPriority w:val="0"/>
    <w:pPr>
      <w:jc w:val="left"/>
    </w:pPr>
    <w:rPr>
      <w:rFonts w:ascii="Calibri" w:hAnsi="Calibri" w:cs="Calibri"/>
      <w:sz w:val="20"/>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tiff"/><Relationship Id="rId6" Type="http://schemas.openxmlformats.org/officeDocument/2006/relationships/image" Target="media/image3.jpeg"/><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384</Words>
  <Characters>2199</Characters>
  <Lines>19</Lines>
  <Paragraphs>5</Paragraphs>
  <TotalTime>82</TotalTime>
  <ScaleCrop>false</ScaleCrop>
  <LinksUpToDate>false</LinksUpToDate>
  <CharactersWithSpaces>2686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2022-05-06T02:24:00Z</dcterms:created>
  <dc:creator>59606</dc:creator>
  <cp:lastModifiedBy>MFFL--周鹏</cp:lastModifiedBy>
  <dcterms:modified xsi:type="dcterms:W3CDTF">2022-07-30T06:22:07Z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7F2A51CF4F0D4B86A637B67844AFE95B</vt:lpwstr>
  </property>
</Properties>
</file>