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theme="minorHAnsi"/>
          <w:b/>
          <w:sz w:val="28"/>
          <w:szCs w:val="28"/>
          <w:lang w:val="en-US" w:eastAsia="en-GB"/>
        </w:rPr>
      </w:pPr>
      <w:r w:rsidRPr="00F30572">
        <w:rPr>
          <w:rFonts w:ascii="Times New Roman" w:eastAsia="Times New Roman" w:hAnsi="Times New Roman" w:cstheme="minorHAnsi"/>
          <w:b/>
          <w:sz w:val="28"/>
          <w:szCs w:val="28"/>
          <w:lang w:val="en-US" w:eastAsia="en-GB"/>
        </w:rPr>
        <w:t>Supplementary Files</w:t>
      </w: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theme="minorHAnsi"/>
          <w:b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theme="minorHAnsi"/>
          <w:b/>
          <w:sz w:val="24"/>
          <w:szCs w:val="24"/>
          <w:lang w:val="en-US" w:eastAsia="en-GB"/>
        </w:rPr>
        <w:t>Appendix 1</w:t>
      </w:r>
    </w:p>
    <w:p w:rsidR="00F30572" w:rsidRPr="00F30572" w:rsidRDefault="00F30572" w:rsidP="00F30572">
      <w:pPr>
        <w:widowControl w:val="0"/>
        <w:spacing w:after="0" w:line="276" w:lineRule="auto"/>
        <w:jc w:val="both"/>
        <w:rPr>
          <w:rFonts w:ascii="Times New Roman" w:eastAsia="Times New Roman" w:hAnsi="Times New Roman" w:cstheme="minorHAnsi"/>
          <w:bCs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theme="minorHAnsi"/>
          <w:bCs/>
          <w:sz w:val="24"/>
          <w:szCs w:val="24"/>
          <w:lang w:val="en-US" w:eastAsia="en-GB"/>
        </w:rPr>
        <w:t>HeraBEAT system specification and safety claims.</w:t>
      </w:r>
    </w:p>
    <w:tbl>
      <w:tblPr>
        <w:tblW w:w="9184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127"/>
        <w:gridCol w:w="3118"/>
        <w:gridCol w:w="3939"/>
      </w:tblGrid>
      <w:tr w:rsidR="00F30572" w:rsidRPr="00F30572" w:rsidTr="00302AE3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/>
                <w:sz w:val="20"/>
                <w:szCs w:val="20"/>
                <w:lang w:val="en-US" w:eastAsia="en-GB" w:bidi="he-IL"/>
              </w:rPr>
              <w:t>Characteristic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b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/>
                <w:sz w:val="20"/>
                <w:szCs w:val="20"/>
                <w:lang w:val="en-US" w:eastAsia="en-GB" w:bidi="he-IL"/>
              </w:rPr>
              <w:t>Measure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b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/>
                <w:sz w:val="20"/>
                <w:szCs w:val="20"/>
                <w:lang w:val="en-US" w:eastAsia="en-GB" w:bidi="he-IL"/>
              </w:rPr>
              <w:t>Specifications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Safety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Complies with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 xml:space="preserve">IEC/EN 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br/>
              <w:t xml:space="preserve">60601-1, 60601-1-2, 60601-1-11, 60601-2-37 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Classification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Antielectric shock type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Class II electrical device when AC/DC adapter connected.  Otherwise, internally powered equipment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Antielectric shock degree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Type BF equipment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Degree of protection against harmful ingress of water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IP22; Protection against falling drops of water when unit is tilted 15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val="en-US" w:eastAsia="en-GB" w:bidi="he-IL"/>
              </w:rPr>
              <w:t>o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Physical characteristics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Device size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 xml:space="preserve">88 x 37 mm; 3.5 x 1.5 inches </w:t>
            </w:r>
          </w:p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(Diameter × Height, ± 0.08 inches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Device weight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Approximately 4.58 ounces</w:t>
            </w:r>
          </w:p>
        </w:tc>
      </w:tr>
      <w:tr w:rsidR="00F30572" w:rsidRPr="00F30572" w:rsidTr="00302AE3">
        <w:trPr>
          <w:cantSplit/>
          <w:trHeight w:val="4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Operating environment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Temperature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From 41°F up to 104°F</w:t>
            </w:r>
          </w:p>
        </w:tc>
      </w:tr>
      <w:tr w:rsidR="00F30572" w:rsidRPr="00F30572" w:rsidTr="00302AE3">
        <w:trPr>
          <w:cantSplit/>
          <w:trHeight w:val="42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Humidity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From 5% up to 90% RH (noncondensing)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Storage/transport environment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Temperature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From -4°F up to 140°F</w:t>
            </w:r>
          </w:p>
        </w:tc>
      </w:tr>
      <w:tr w:rsidR="00F30572" w:rsidRPr="00F30572" w:rsidTr="00302AE3">
        <w:trPr>
          <w:cantSplit/>
          <w:trHeight w:val="38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Humidity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From 5% up to 95% (noncondensing)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Light intensity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No direct sunlight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FHR performance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Pregnancy week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12 to 42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FHR measuring range; accuracy; resolution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50 to 240 bpm; ± 2 bpm; 1 bpm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MHR measuring range; accuracy; resolution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45 to 240 BPM; ± 2% or 1 bpm, whichever is greater; 1 bpm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  <w:t>Auto acquisition stop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NA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5 minutes of successful measurement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  <w:t>Recommended ultrasound transmission gel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NA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Aquasonic 100 Ultrasound Transmission Gel (Parker Laboratories, Fairfield, NJ)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  <w:t>Power consumption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NA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&lt;2 W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  <w:t>Rechargeable lithion-ion battery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Nominal capacity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3.7 V DC, 1250 mAH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Continuous work time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4 hours (with a new battery)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 xml:space="preserve">Power input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 xml:space="preserve">5 V DC, 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sym w:font="Symbol" w:char="F03E"/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0.3 A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Charge time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4 hours</w:t>
            </w:r>
          </w:p>
        </w:tc>
      </w:tr>
      <w:tr w:rsidR="00F30572" w:rsidRPr="00F30572" w:rsidTr="00302AE3">
        <w:trPr>
          <w:cantSplit/>
          <w:trHeight w:val="31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  <w:t>Ultrasound</w:t>
            </w:r>
            <w:r w:rsidRPr="00F30572"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  <w:br/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(NEMA/FDA)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Nominal frequency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2 MHz ± 10%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Ultrasonic output power (P)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70 mW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bookmarkStart w:id="0" w:name="_Hlk20242651"/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 xml:space="preserve">Peak rarefactional pressure </w:t>
            </w:r>
            <w:bookmarkEnd w:id="0"/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(</w:t>
            </w:r>
            <w:r w:rsidRPr="00F30572">
              <w:rPr>
                <w:rFonts w:ascii="Times New Roman" w:eastAsia="Times New Roman" w:hAnsi="Times New Roman" w:cstheme="minorHAnsi"/>
                <w:i/>
                <w:iCs/>
                <w:sz w:val="20"/>
                <w:szCs w:val="20"/>
                <w:lang w:val="en-US" w:eastAsia="en-GB" w:bidi="he-IL"/>
              </w:rPr>
              <w:t>p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bscript"/>
                <w:lang w:val="en-US" w:eastAsia="en-GB" w:bidi="he-IL"/>
              </w:rPr>
              <w:t>r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0.03 MPa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Ultrasonic output intensity (</w:t>
            </w:r>
            <w:r w:rsidRPr="00F30572">
              <w:rPr>
                <w:rFonts w:ascii="Times New Roman" w:eastAsia="Times New Roman" w:hAnsi="Times New Roman" w:cstheme="minorHAnsi"/>
                <w:i/>
                <w:iCs/>
                <w:sz w:val="20"/>
                <w:szCs w:val="20"/>
                <w:lang w:val="en-US" w:eastAsia="en-GB" w:bidi="he-IL"/>
              </w:rPr>
              <w:t>I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bscript"/>
                <w:lang w:val="en-US" w:eastAsia="en-GB" w:bidi="he-IL"/>
              </w:rPr>
              <w:t>sata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≤20 mW/cm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val="en-US" w:eastAsia="en-GB" w:bidi="he-IL"/>
              </w:rPr>
              <w:t>2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Mechanical index (MI)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0.02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Thermal index (TIS; TIB)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 xml:space="preserve">0.26; 0.7 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Measurement mode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Continuous wave ultrasound doppler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Effective radiating area of transducer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4.9 ± 0.5 cm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val="en-US" w:eastAsia="en-GB" w:bidi="he-IL"/>
              </w:rPr>
              <w:t>2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left="73" w:right="26"/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bCs/>
                <w:sz w:val="20"/>
                <w:szCs w:val="20"/>
                <w:lang w:val="en-US" w:eastAsia="en-GB" w:bidi="he-IL"/>
              </w:rPr>
              <w:t>BLE specification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Frequency band of transmission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 xml:space="preserve">2.4–2.5 GHz 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br/>
              <w:t xml:space="preserve">Channels (2 MHz spacing) 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br/>
              <w:t>3 advertising channels @ 2402, 2426, 2480 Mh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br/>
              <w:t>36 data channels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Frequency characteristics of the modulation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DSSS: GFSK (modulation index=0.5)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Maximum RF input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-10 dBm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Typical receive sensitivity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-94 dBm</w:t>
            </w:r>
          </w:p>
        </w:tc>
      </w:tr>
      <w:tr w:rsidR="00F30572" w:rsidRPr="00F30572" w:rsidTr="00302AE3">
        <w:trPr>
          <w:cantSplit/>
        </w:trPr>
        <w:tc>
          <w:tcPr>
            <w:tcW w:w="212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spacing w:after="0" w:line="240" w:lineRule="auto"/>
              <w:rPr>
                <w:rFonts w:ascii="Times New Roman" w:eastAsia="Times New Roman" w:hAnsi="Times New Roman" w:cstheme="minorHAnsi"/>
                <w:b/>
                <w:bCs/>
                <w:sz w:val="20"/>
                <w:szCs w:val="20"/>
                <w:lang w:val="en-US" w:eastAsia="en-GB" w:bidi="he-I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6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Maximum RF Tx output power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tabs>
                <w:tab w:val="left" w:pos="-1440"/>
                <w:tab w:val="left" w:pos="-720"/>
              </w:tabs>
              <w:spacing w:before="60" w:after="0" w:line="240" w:lineRule="auto"/>
              <w:ind w:right="28"/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val="en-US" w:eastAsia="en-GB" w:bidi="he-IL"/>
              </w:rPr>
              <w:t>+4 dBm</w:t>
            </w:r>
          </w:p>
        </w:tc>
      </w:tr>
    </w:tbl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theme="minorHAnsi"/>
          <w:b/>
          <w:sz w:val="24"/>
          <w:szCs w:val="24"/>
          <w:lang w:val="en-US" w:eastAsia="en-GB"/>
        </w:rPr>
      </w:pPr>
    </w:p>
    <w:p w:rsidR="00F30572" w:rsidRPr="00F30572" w:rsidRDefault="00F30572" w:rsidP="00F30572">
      <w:pPr>
        <w:widowControl w:val="0"/>
        <w:spacing w:after="0" w:line="276" w:lineRule="auto"/>
        <w:jc w:val="both"/>
        <w:rPr>
          <w:rFonts w:ascii="Times New Roman" w:eastAsia="Times New Roman" w:hAnsi="Times New Roman" w:cstheme="minorHAnsi"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theme="minorHAnsi"/>
          <w:sz w:val="24"/>
          <w:szCs w:val="24"/>
          <w:lang w:val="en-US" w:eastAsia="en-GB"/>
        </w:rPr>
        <w:t xml:space="preserve">HeraBEAT safety claims:  </w:t>
      </w:r>
    </w:p>
    <w:p w:rsidR="00F30572" w:rsidRPr="00F30572" w:rsidRDefault="00F30572" w:rsidP="00F30572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theme="minorHAnsi"/>
          <w:sz w:val="24"/>
          <w:szCs w:val="24"/>
          <w:lang w:val="en-US" w:eastAsia="en-GB"/>
        </w:rPr>
      </w:pP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/>
        </w:rPr>
        <w:t>HeraBEAT works at low voltage (5 V), which is supplied from an internal rechargeable battery (tested per IEC 60601-1).</w:t>
      </w:r>
    </w:p>
    <w:p w:rsidR="00F30572" w:rsidRPr="00F30572" w:rsidRDefault="00F30572" w:rsidP="00F30572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theme="minorHAnsi"/>
          <w:sz w:val="24"/>
          <w:szCs w:val="24"/>
          <w:lang w:val="en-US" w:eastAsia="en-GB"/>
        </w:rPr>
      </w:pP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/>
        </w:rPr>
        <w:t xml:space="preserve">HeraBEAT device material is isolated and made of electric nonconducting material.  In addition, the device does not operate while charging. </w:t>
      </w:r>
    </w:p>
    <w:p w:rsidR="00F30572" w:rsidRPr="00F30572" w:rsidRDefault="00F30572" w:rsidP="00F30572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theme="minorHAnsi"/>
          <w:sz w:val="24"/>
          <w:szCs w:val="24"/>
          <w:lang w:val="en-US" w:eastAsia="en-GB"/>
        </w:rPr>
      </w:pP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/>
        </w:rPr>
        <w:t>HeraBEAT</w:t>
      </w:r>
      <w:r w:rsidRPr="00F30572">
        <w:rPr>
          <w:rFonts w:ascii="Times New Roman" w:eastAsia="Calibri" w:hAnsi="Times New Roman" w:cstheme="minorHAnsi"/>
          <w:sz w:val="24"/>
          <w:szCs w:val="24"/>
          <w:vertAlign w:val="superscript"/>
          <w:lang w:val="en-US" w:eastAsia="en-GB"/>
        </w:rPr>
        <w:t xml:space="preserve"> </w:t>
      </w: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/>
        </w:rPr>
        <w:t>transmits ultrasonic energy at a maximum intensity of 20 mW/c “</w:t>
      </w:r>
      <w:r w:rsidRPr="00F30572">
        <w:rPr>
          <w:rFonts w:ascii="Times New Roman" w:eastAsia="Calibri" w:hAnsi="Times New Roman" w:cstheme="minorHAnsi"/>
          <w:sz w:val="24"/>
          <w:szCs w:val="24"/>
          <w:vertAlign w:val="superscript"/>
          <w:lang w:val="en-US" w:eastAsia="en-GB"/>
        </w:rPr>
        <w:t>2</w:t>
      </w: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/>
        </w:rPr>
        <w:t>, according to IEC 60601-2-37 “Medical electrical equipment – Part 2-37: Particular requirements for the safety of ultrasonic medical diag “ostic and monitoring equipment.”</w:t>
      </w:r>
    </w:p>
    <w:p w:rsidR="00F30572" w:rsidRPr="00F30572" w:rsidRDefault="00F30572" w:rsidP="00F30572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theme="minorHAnsi"/>
          <w:sz w:val="24"/>
          <w:szCs w:val="24"/>
          <w:lang w:val="en-US" w:eastAsia="en-GB"/>
        </w:rPr>
      </w:pP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/>
        </w:rPr>
        <w:t>The device turns off if not connected to the mobile app for several seconds.</w:t>
      </w:r>
    </w:p>
    <w:p w:rsidR="00F30572" w:rsidRPr="00F30572" w:rsidRDefault="00F30572" w:rsidP="00F30572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theme="minorHAnsi"/>
          <w:sz w:val="24"/>
          <w:szCs w:val="24"/>
          <w:lang w:val="en-US" w:eastAsia="en-GB"/>
        </w:rPr>
      </w:pP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/>
        </w:rPr>
        <w:t>All materials are biocompatible and approved for use on the skin surface.</w:t>
      </w:r>
    </w:p>
    <w:p w:rsidR="00F30572" w:rsidRPr="00F30572" w:rsidRDefault="00F30572" w:rsidP="00F30572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theme="minorHAnsi"/>
          <w:sz w:val="24"/>
          <w:szCs w:val="24"/>
          <w:lang w:val="en-US" w:eastAsia="en-GB"/>
        </w:rPr>
      </w:pP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/>
        </w:rPr>
        <w:t xml:space="preserve">HeraBEAT controls the temperature level inside the device to assure that the device temperature remains below the safe temperature limit.  In addition, a built-in test (BIT) is implemented to verify the correct functioning of the temperature sensor. </w:t>
      </w:r>
    </w:p>
    <w:p w:rsidR="00F30572" w:rsidRPr="00F30572" w:rsidRDefault="00F30572" w:rsidP="00F3057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theme="minorHAnsi"/>
          <w:sz w:val="24"/>
          <w:szCs w:val="24"/>
          <w:lang w:val="en-US" w:eastAsia="en-GB" w:bidi="he-IL"/>
        </w:rPr>
      </w:pPr>
      <w:r w:rsidRPr="00F30572">
        <w:rPr>
          <w:rFonts w:ascii="Times New Roman" w:eastAsia="Calibri" w:hAnsi="Times New Roman" w:cstheme="minorHAnsi"/>
          <w:sz w:val="24"/>
          <w:szCs w:val="24"/>
          <w:lang w:val="en-US" w:eastAsia="en-GB" w:bidi="he-IL"/>
        </w:rPr>
        <w:t xml:space="preserve">The device conforms to risk management best practices according to ISO 14971:2007 – Medical Devices – Application of Risk Management to Medical Devices. </w:t>
      </w:r>
    </w:p>
    <w:p w:rsidR="00F30572" w:rsidRPr="00F30572" w:rsidRDefault="00F30572" w:rsidP="00F30572">
      <w:pPr>
        <w:widowControl w:val="0"/>
        <w:spacing w:after="0" w:line="276" w:lineRule="auto"/>
        <w:jc w:val="both"/>
        <w:rPr>
          <w:rFonts w:ascii="Times New Roman" w:eastAsia="Times New Roman" w:hAnsi="Times New Roman" w:cstheme="minorHAnsi"/>
          <w:b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theme="minorHAnsi"/>
          <w:b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theme="minorHAnsi"/>
          <w:b/>
          <w:sz w:val="24"/>
          <w:szCs w:val="24"/>
          <w:lang w:val="en-US" w:eastAsia="en-GB"/>
        </w:rPr>
        <w:br w:type="page"/>
      </w:r>
    </w:p>
    <w:p w:rsidR="00F30572" w:rsidRPr="00F30572" w:rsidRDefault="00F30572" w:rsidP="00F30572">
      <w:pPr>
        <w:widowControl w:val="0"/>
        <w:spacing w:after="0" w:line="276" w:lineRule="auto"/>
        <w:jc w:val="both"/>
        <w:rPr>
          <w:rFonts w:ascii="Times New Roman" w:eastAsia="Times New Roman" w:hAnsi="Times New Roman" w:cstheme="minorHAnsi"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theme="minorHAnsi"/>
          <w:b/>
          <w:sz w:val="24"/>
          <w:szCs w:val="24"/>
          <w:lang w:val="en-US" w:eastAsia="en-GB"/>
        </w:rPr>
        <w:t>Appendix 2</w:t>
      </w:r>
    </w:p>
    <w:p w:rsidR="00F30572" w:rsidRPr="00F30572" w:rsidRDefault="00F30572" w:rsidP="00F30572">
      <w:pPr>
        <w:widowControl w:val="0"/>
        <w:spacing w:after="0" w:line="276" w:lineRule="auto"/>
        <w:jc w:val="both"/>
        <w:rPr>
          <w:rFonts w:ascii="Times New Roman" w:eastAsia="Times New Roman" w:hAnsi="Times New Roman" w:cstheme="minorHAnsi"/>
          <w:bCs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Conversion table for System Usability Scale raw scores into percentile and grades.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9"/>
        <w:gridCol w:w="2020"/>
        <w:gridCol w:w="1206"/>
      </w:tblGrid>
      <w:tr w:rsidR="00F30572" w:rsidRPr="00F30572" w:rsidTr="00302AE3">
        <w:trPr>
          <w:trHeight w:val="365"/>
        </w:trPr>
        <w:tc>
          <w:tcPr>
            <w:tcW w:w="2019" w:type="dxa"/>
            <w:shd w:val="clear" w:color="auto" w:fill="auto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before="19" w:after="0" w:line="256" w:lineRule="auto"/>
              <w:ind w:left="398" w:right="399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b/>
                <w:sz w:val="24"/>
                <w:szCs w:val="24"/>
                <w:lang w:val="en-US" w:eastAsia="en-GB"/>
              </w:rPr>
              <w:t>SUS Score</w:t>
            </w:r>
          </w:p>
        </w:tc>
        <w:tc>
          <w:tcPr>
            <w:tcW w:w="2020" w:type="dxa"/>
            <w:shd w:val="clear" w:color="auto" w:fill="auto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before="19" w:after="0" w:line="256" w:lineRule="auto"/>
              <w:ind w:left="364" w:right="222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b/>
                <w:sz w:val="24"/>
                <w:szCs w:val="24"/>
                <w:lang w:val="en-US" w:eastAsia="en-GB"/>
              </w:rPr>
              <w:t>Percentile</w:t>
            </w:r>
          </w:p>
        </w:tc>
        <w:tc>
          <w:tcPr>
            <w:tcW w:w="1206" w:type="dxa"/>
            <w:shd w:val="clear" w:color="auto" w:fill="auto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before="19" w:after="0" w:line="256" w:lineRule="auto"/>
              <w:ind w:left="261"/>
              <w:rPr>
                <w:rFonts w:ascii="Calibri" w:eastAsia="Calibri" w:hAnsi="Calibri" w:cs="Calibri"/>
                <w:b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b/>
                <w:sz w:val="24"/>
                <w:szCs w:val="24"/>
                <w:lang w:val="en-US" w:eastAsia="en-GB"/>
              </w:rPr>
              <w:t>Grade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32" w:lineRule="exact"/>
              <w:ind w:left="329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84.1–100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32" w:lineRule="exact"/>
              <w:ind w:left="363" w:right="222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96–100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32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A+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29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80.8–84.0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90–95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A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30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78.9–80.7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85–89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A-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30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77.2–78.8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80–84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B+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29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74.1–77.1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70–79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B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29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72.6–74.0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65–69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B-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30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71.1–72.5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60–64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C+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27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65.0–71.0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41–59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C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30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62.7–64.9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35–40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C-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30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51.7–62.6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4" w:right="220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15–34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D</w:t>
            </w:r>
          </w:p>
        </w:tc>
      </w:tr>
      <w:tr w:rsidR="00F30572" w:rsidRPr="00F30572" w:rsidTr="00302AE3">
        <w:trPr>
          <w:trHeight w:val="365"/>
        </w:trPr>
        <w:tc>
          <w:tcPr>
            <w:tcW w:w="2019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27" w:right="341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&lt;51.7</w:t>
            </w:r>
          </w:p>
        </w:tc>
        <w:tc>
          <w:tcPr>
            <w:tcW w:w="2020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363" w:right="222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0–14</w:t>
            </w:r>
          </w:p>
        </w:tc>
        <w:tc>
          <w:tcPr>
            <w:tcW w:w="1206" w:type="dxa"/>
            <w:hideMark/>
          </w:tcPr>
          <w:p w:rsidR="00F30572" w:rsidRPr="00F30572" w:rsidRDefault="00F30572" w:rsidP="00F30572">
            <w:pPr>
              <w:widowControl w:val="0"/>
              <w:autoSpaceDE w:val="0"/>
              <w:autoSpaceDN w:val="0"/>
              <w:spacing w:after="0" w:line="341" w:lineRule="exact"/>
              <w:ind w:left="-68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</w:pPr>
            <w:r w:rsidRPr="00F30572">
              <w:rPr>
                <w:rFonts w:ascii="Calibri" w:eastAsia="Calibri" w:hAnsi="Calibri" w:cs="Calibri"/>
                <w:sz w:val="24"/>
                <w:szCs w:val="24"/>
                <w:lang w:val="en-US" w:eastAsia="en-GB"/>
              </w:rPr>
              <w:t>F</w:t>
            </w:r>
          </w:p>
        </w:tc>
      </w:tr>
    </w:tbl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br w:type="page"/>
      </w: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Appendix 3</w:t>
      </w: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F30572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All positive version of the System Usability Scale and the adjectival enhancement question used in the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9"/>
        <w:gridCol w:w="1164"/>
        <w:gridCol w:w="911"/>
        <w:gridCol w:w="983"/>
        <w:gridCol w:w="812"/>
        <w:gridCol w:w="917"/>
      </w:tblGrid>
      <w:tr w:rsidR="00F30572" w:rsidRPr="00F30572" w:rsidTr="00302AE3">
        <w:trPr>
          <w:trHeight w:val="787"/>
        </w:trPr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GB"/>
              </w:rPr>
            </w:pPr>
            <w:r w:rsidRPr="00F3057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 xml:space="preserve">Please mark the box that reflects your immediate response to each statement.  Don’t think too long about each statement.  Please make sure you respond to every statement. </w:t>
            </w:r>
            <w:r w:rsidRPr="00F305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GB"/>
              </w:rPr>
              <w:t xml:space="preserve"> If you don’t know how to respond, just mark box ‘3.’</w:t>
            </w:r>
          </w:p>
        </w:tc>
      </w:tr>
      <w:tr w:rsidR="00F30572" w:rsidRPr="00F30572" w:rsidTr="00302AE3">
        <w:trPr>
          <w:trHeight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GB"/>
              </w:rPr>
              <w:t>Strongly disagree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GB"/>
              </w:rPr>
              <w:t>Strongly agree</w:t>
            </w:r>
          </w:p>
        </w:tc>
      </w:tr>
      <w:tr w:rsidR="00F30572" w:rsidRPr="00F30572" w:rsidTr="00302AE3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1. 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I think I would like to use this system frequently.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2. 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I found this system to be simple.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3. 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I thought this system was easy to use.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4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.  I think I could use this system without the support of a technical person.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5. 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I found the various functions of this system were well integrated.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5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6. 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I thought there was a lot of consistency in this system.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7. 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I imagine most people would learn to use it very quickly.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8. 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I found it very intuitive.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9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.  I felt very confident using this system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  <w:tr w:rsidR="00F30572" w:rsidRPr="00F30572" w:rsidTr="00302AE3">
        <w:trPr>
          <w:trHeight w:val="5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10. 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I could use this system without having to learn anything new.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</w:tr>
    </w:tbl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1"/>
        <w:gridCol w:w="1105"/>
        <w:gridCol w:w="728"/>
        <w:gridCol w:w="594"/>
        <w:gridCol w:w="650"/>
        <w:gridCol w:w="661"/>
        <w:gridCol w:w="972"/>
        <w:gridCol w:w="1105"/>
      </w:tblGrid>
      <w:tr w:rsidR="00F30572" w:rsidRPr="00F30572" w:rsidTr="00302AE3">
        <w:trPr>
          <w:trHeight w:val="799"/>
        </w:trPr>
        <w:tc>
          <w:tcPr>
            <w:tcW w:w="3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bCs/>
                <w:sz w:val="20"/>
                <w:szCs w:val="24"/>
                <w:u w:val="single"/>
                <w:lang w:val="en-US" w:eastAsia="en-GB"/>
              </w:rPr>
              <w:t>Adjectival assessment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en-GB"/>
              </w:rPr>
              <w:t>:</w:t>
            </w: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 xml:space="preserve">  Overall, I would rate the user-friendliness of HBM as….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Worst imaginable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Awful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Poor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Okay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Good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Excellent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Best imaginable</w:t>
            </w:r>
          </w:p>
        </w:tc>
      </w:tr>
      <w:tr w:rsidR="00F30572" w:rsidRPr="00F30572" w:rsidTr="00302AE3">
        <w:trPr>
          <w:trHeight w:val="5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572" w:rsidRPr="00F30572" w:rsidRDefault="00F30572" w:rsidP="00F30572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</w:pPr>
            <w:r w:rsidRPr="00F3057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en-GB"/>
              </w:rPr>
              <w:t>7</w:t>
            </w:r>
          </w:p>
        </w:tc>
      </w:tr>
    </w:tbl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4"/>
          <w:lang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4"/>
          <w:lang w:eastAsia="en-GB"/>
        </w:rPr>
      </w:pPr>
    </w:p>
    <w:p w:rsidR="00F30572" w:rsidRPr="00F30572" w:rsidRDefault="00F30572" w:rsidP="00F30572">
      <w:pPr>
        <w:keepNext/>
        <w:keepLines/>
        <w:spacing w:after="0" w:line="300" w:lineRule="atLeast"/>
        <w:outlineLvl w:val="1"/>
        <w:rPr>
          <w:rFonts w:ascii="Fira Sans" w:eastAsiaTheme="majorEastAsia" w:hAnsi="Fira Sans" w:cstheme="majorBidi"/>
          <w:color w:val="444444"/>
          <w:sz w:val="24"/>
          <w:szCs w:val="24"/>
          <w:lang w:eastAsia="en-GB"/>
        </w:rPr>
      </w:pPr>
      <w:r w:rsidRPr="00F30572">
        <w:rPr>
          <w:rFonts w:ascii="Fira Sans" w:eastAsiaTheme="majorEastAsia" w:hAnsi="Fira Sans" w:cstheme="majorBidi"/>
          <w:b/>
          <w:bCs/>
          <w:color w:val="444444"/>
          <w:sz w:val="24"/>
          <w:szCs w:val="24"/>
          <w:lang w:eastAsia="en-GB"/>
        </w:rPr>
        <w:t>Authors’ Data Sharing Statement</w:t>
      </w:r>
    </w:p>
    <w:p w:rsidR="00F30572" w:rsidRPr="00F30572" w:rsidRDefault="00F30572" w:rsidP="00F30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30572">
        <w:rPr>
          <w:rFonts w:ascii="Times New Roman" w:eastAsia="Times New Roman" w:hAnsi="Times New Roman" w:cs="Times New Roman"/>
          <w:sz w:val="24"/>
          <w:szCs w:val="24"/>
          <w:lang w:eastAsia="en-GB"/>
        </w:rPr>
        <w:t>Will individual participant data be available (including data dictionaries)? </w:t>
      </w:r>
      <w:r w:rsidRPr="00F30572">
        <w:rPr>
          <w:rFonts w:ascii="Times New Roman" w:eastAsia="Bookman Old Style" w:hAnsi="Times New Roman" w:cs="Times New Roman"/>
          <w:b/>
          <w:bCs/>
          <w:i/>
          <w:iCs/>
          <w:sz w:val="24"/>
          <w:szCs w:val="24"/>
          <w:lang w:eastAsia="en-GB"/>
        </w:rPr>
        <w:t>Individual, de-identified participant data may be shared by the corresponding author, providing appropriate reciprocal ethical approval has been sort for use of the data.</w:t>
      </w:r>
    </w:p>
    <w:p w:rsidR="00F30572" w:rsidRPr="00F30572" w:rsidRDefault="00F30572" w:rsidP="00F30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30572">
        <w:rPr>
          <w:rFonts w:ascii="Times New Roman" w:eastAsia="Times New Roman" w:hAnsi="Times New Roman" w:cs="Times New Roman"/>
          <w:sz w:val="24"/>
          <w:szCs w:val="24"/>
          <w:lang w:eastAsia="en-GB"/>
        </w:rPr>
        <w:t>What data in particular will be shared? </w:t>
      </w:r>
      <w:r w:rsidRPr="00F30572">
        <w:rPr>
          <w:rFonts w:ascii="Times New Roman" w:eastAsia="Bookman Old Style" w:hAnsi="Times New Roman" w:cs="Times New Roman"/>
          <w:b/>
          <w:bCs/>
          <w:i/>
          <w:iCs/>
          <w:sz w:val="24"/>
          <w:szCs w:val="24"/>
          <w:lang w:eastAsia="en-GB"/>
        </w:rPr>
        <w:t>Available data will include individual FHR metrics, SUS scores and accuracy measurements.</w:t>
      </w:r>
    </w:p>
    <w:p w:rsidR="00F30572" w:rsidRPr="00F30572" w:rsidRDefault="00F30572" w:rsidP="00F30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30572">
        <w:rPr>
          <w:rFonts w:ascii="Times New Roman" w:eastAsia="Times New Roman" w:hAnsi="Times New Roman" w:cs="Times New Roman"/>
          <w:sz w:val="24"/>
          <w:szCs w:val="24"/>
          <w:lang w:eastAsia="en-GB"/>
        </w:rPr>
        <w:t>What other documents will be available? </w:t>
      </w:r>
      <w:r w:rsidRPr="00F30572">
        <w:rPr>
          <w:rFonts w:ascii="Times New Roman" w:eastAsia="Bookman Old Style" w:hAnsi="Times New Roman" w:cs="Times New Roman"/>
          <w:b/>
          <w:bCs/>
          <w:i/>
          <w:iCs/>
          <w:sz w:val="24"/>
          <w:szCs w:val="24"/>
          <w:lang w:eastAsia="en-GB"/>
        </w:rPr>
        <w:t>The study protocol is available.</w:t>
      </w:r>
    </w:p>
    <w:p w:rsidR="00F30572" w:rsidRPr="00F30572" w:rsidRDefault="00F30572" w:rsidP="00F30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30572">
        <w:rPr>
          <w:rFonts w:ascii="Times New Roman" w:eastAsia="Times New Roman" w:hAnsi="Times New Roman" w:cs="Times New Roman"/>
          <w:sz w:val="24"/>
          <w:szCs w:val="24"/>
          <w:lang w:eastAsia="en-GB"/>
        </w:rPr>
        <w:t>When will data be available (start and end dates)? </w:t>
      </w:r>
      <w:r w:rsidRPr="00F30572">
        <w:rPr>
          <w:rFonts w:ascii="Times New Roman" w:eastAsia="Bookman Old Style" w:hAnsi="Times New Roman" w:cs="Times New Roman"/>
          <w:b/>
          <w:bCs/>
          <w:i/>
          <w:iCs/>
          <w:sz w:val="24"/>
          <w:szCs w:val="24"/>
          <w:lang w:eastAsia="en-GB"/>
        </w:rPr>
        <w:t>Data will be available after manuscript publication for a period of 24 months.</w:t>
      </w:r>
    </w:p>
    <w:p w:rsidR="00F30572" w:rsidRPr="00F30572" w:rsidRDefault="00F30572" w:rsidP="00F305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Bookman Old Style" w:hAnsi="Times New Roman" w:cs="Times New Roman"/>
          <w:b/>
          <w:bCs/>
          <w:i/>
          <w:iCs/>
          <w:sz w:val="24"/>
          <w:szCs w:val="24"/>
          <w:lang w:eastAsia="en-GB"/>
        </w:rPr>
        <w:sectPr w:rsidR="00F30572" w:rsidRPr="00F3057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30572">
        <w:rPr>
          <w:rFonts w:ascii="Times New Roman" w:eastAsia="Times New Roman" w:hAnsi="Times New Roman" w:cs="Times New Roman"/>
          <w:sz w:val="24"/>
          <w:szCs w:val="24"/>
          <w:lang w:eastAsia="en-GB"/>
        </w:rPr>
        <w:t>By what access criteria will data be shared (including with whom, for what types of analyses, and by what mechanism)? </w:t>
      </w:r>
      <w:r w:rsidRPr="00F30572">
        <w:rPr>
          <w:rFonts w:ascii="Times New Roman" w:eastAsia="Bookman Old Style" w:hAnsi="Times New Roman" w:cs="Times New Roman"/>
          <w:b/>
          <w:bCs/>
          <w:i/>
          <w:iCs/>
          <w:sz w:val="24"/>
          <w:szCs w:val="24"/>
          <w:lang w:eastAsia="en-GB"/>
        </w:rPr>
        <w:t>Data will be shared for reanalysis to confirm results.  All use of data must comply with HREC requirements and Good Clinical Practice.</w:t>
      </w:r>
    </w:p>
    <w:p w:rsidR="00F30572" w:rsidRPr="00F30572" w:rsidRDefault="00F30572" w:rsidP="00F30572">
      <w:pPr>
        <w:spacing w:after="0" w:line="480" w:lineRule="auto"/>
        <w:rPr>
          <w:rFonts w:ascii="Times New Roman" w:eastAsia="Times New Roman" w:hAnsi="Times New Roman" w:cstheme="minorHAnsi"/>
          <w:b/>
          <w:sz w:val="20"/>
          <w:szCs w:val="20"/>
          <w:lang w:eastAsia="en-GB"/>
        </w:rPr>
      </w:pPr>
      <w:r w:rsidRPr="00F30572">
        <w:rPr>
          <w:rFonts w:ascii="Times New Roman" w:eastAsia="Times New Roman" w:hAnsi="Times New Roman" w:cstheme="minorHAnsi"/>
          <w:b/>
          <w:sz w:val="20"/>
          <w:szCs w:val="20"/>
          <w:lang w:eastAsia="en-GB"/>
        </w:rPr>
        <w:t>Appendix 4</w:t>
      </w:r>
    </w:p>
    <w:p w:rsidR="00F30572" w:rsidRPr="00F30572" w:rsidRDefault="00F30572" w:rsidP="00F30572">
      <w:pPr>
        <w:spacing w:after="0" w:line="480" w:lineRule="auto"/>
        <w:rPr>
          <w:rFonts w:ascii="Times New Roman" w:eastAsia="Times New Roman" w:hAnsi="Times New Roman" w:cstheme="minorHAnsi"/>
          <w:sz w:val="24"/>
          <w:szCs w:val="20"/>
          <w:lang w:eastAsia="en-GB"/>
        </w:rPr>
      </w:pPr>
      <w:r w:rsidRPr="00F30572">
        <w:rPr>
          <w:rFonts w:ascii="Times New Roman" w:eastAsia="Times New Roman" w:hAnsi="Times New Roman" w:cstheme="minorHAnsi"/>
          <w:sz w:val="24"/>
          <w:szCs w:val="20"/>
          <w:lang w:eastAsia="en-GB"/>
        </w:rPr>
        <w:t>Factors related to clinical outcomes (Phase 1)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1701"/>
        <w:gridCol w:w="1843"/>
      </w:tblGrid>
      <w:tr w:rsidR="00F30572" w:rsidRPr="00F30572" w:rsidTr="00302AE3">
        <w:tc>
          <w:tcPr>
            <w:tcW w:w="5382" w:type="dxa"/>
            <w:gridSpan w:val="2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User</w:t>
            </w:r>
          </w:p>
        </w:tc>
        <w:tc>
          <w:tcPr>
            <w:tcW w:w="3544" w:type="dxa"/>
            <w:gridSpan w:val="2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Clinician Administered</w:t>
            </w:r>
          </w:p>
        </w:tc>
      </w:tr>
      <w:tr w:rsidR="00F30572" w:rsidRPr="00F30572" w:rsidTr="00302AE3">
        <w:tc>
          <w:tcPr>
            <w:tcW w:w="5382" w:type="dxa"/>
            <w:gridSpan w:val="2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Site of recording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Antenatal Clinic (</w:t>
            </w:r>
            <w:r w:rsidRPr="00F30572">
              <w:rPr>
                <w:rFonts w:ascii="Times New Roman" w:eastAsia="Times New Roman" w:hAnsi="Times New Roman" w:cstheme="minorHAnsi"/>
                <w:b/>
                <w:sz w:val="20"/>
                <w:szCs w:val="20"/>
                <w:lang w:eastAsia="en-GB"/>
              </w:rPr>
              <w:t>Phase 1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 (n = 63)</w:t>
            </w:r>
          </w:p>
        </w:tc>
      </w:tr>
      <w:tr w:rsidR="00F30572" w:rsidRPr="00F30572" w:rsidTr="00302AE3">
        <w:tc>
          <w:tcPr>
            <w:tcW w:w="5382" w:type="dxa"/>
            <w:gridSpan w:val="2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Median (IQR)</w:t>
            </w:r>
          </w:p>
        </w:tc>
        <w:tc>
          <w:tcPr>
            <w:tcW w:w="1843" w:type="dxa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P</w:t>
            </w:r>
          </w:p>
        </w:tc>
      </w:tr>
      <w:tr w:rsidR="00F30572" w:rsidRPr="00F30572" w:rsidTr="00302AE3">
        <w:tc>
          <w:tcPr>
            <w:tcW w:w="8926" w:type="dxa"/>
            <w:gridSpan w:val="4"/>
            <w:shd w:val="clear" w:color="auto" w:fill="E2EFD9" w:themeFill="accent6" w:themeFillTint="33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Time to 1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st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 detection of FHR (</w:t>
            </w:r>
            <w:r w:rsidRPr="00F30572">
              <w:rPr>
                <w:rFonts w:ascii="Times New Roman" w:eastAsia="Times New Roman" w:hAnsi="Times New Roman" w:cstheme="minorHAnsi"/>
                <w:b/>
                <w:sz w:val="20"/>
                <w:szCs w:val="20"/>
                <w:lang w:eastAsia="en-GB"/>
              </w:rPr>
              <w:t>Seconds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</w:t>
            </w: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(kg/m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&lt;23.5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29 (14 – 44)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0.78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23.5 to &lt; 30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14 (14 – 25)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30 to &lt;35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14 (14 – 25.6)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  <w:shd w:val="clear" w:color="auto" w:fill="auto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35 to &lt;45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14 (15 – 18)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≤ 35 (kg/m2)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14 (14 – 15)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0.86</w:t>
            </w:r>
          </w:p>
        </w:tc>
      </w:tr>
      <w:tr w:rsidR="00F30572" w:rsidRPr="00F30572" w:rsidTr="00302AE3">
        <w:tc>
          <w:tcPr>
            <w:tcW w:w="2830" w:type="dxa"/>
            <w:vMerge/>
            <w:vAlign w:val="center"/>
          </w:tcPr>
          <w:p w:rsidR="00F30572" w:rsidRPr="00F30572" w:rsidRDefault="00F30572" w:rsidP="00F30572">
            <w:pPr>
              <w:ind w:left="453"/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≥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14 (14 – 18) </w:t>
            </w:r>
          </w:p>
        </w:tc>
        <w:tc>
          <w:tcPr>
            <w:tcW w:w="1843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Anterior Placenta Location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14 (14 - 14)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0.09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14 (14 -1 6)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8926" w:type="dxa"/>
            <w:gridSpan w:val="4"/>
            <w:shd w:val="clear" w:color="auto" w:fill="FBE4D5" w:themeFill="accent2" w:themeFillTint="33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Continuous FHR Trace Duration (</w:t>
            </w:r>
            <w:r w:rsidRPr="00F30572">
              <w:rPr>
                <w:rFonts w:ascii="Times New Roman" w:eastAsia="Times New Roman" w:hAnsi="Times New Roman" w:cstheme="minorHAnsi"/>
                <w:b/>
                <w:sz w:val="20"/>
                <w:szCs w:val="20"/>
                <w:lang w:eastAsia="en-GB"/>
              </w:rPr>
              <w:t>Minutes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</w:t>
            </w: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(kg/m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&lt;23.5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12.7 (3.1 – 22.2)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0.44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23.5 to &lt; 30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8.8 (6.8 – 15.5)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30 to &lt;35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7.1 (4.3 – 11.2)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35 to &lt;45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10.1 (6.9 – 13.2)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≤ 35 (kg/m2)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7.9 (5.1 – 13.4)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0.48</w:t>
            </w:r>
          </w:p>
        </w:tc>
      </w:tr>
      <w:tr w:rsidR="00F30572" w:rsidRPr="00F30572" w:rsidTr="00302AE3">
        <w:tc>
          <w:tcPr>
            <w:tcW w:w="2830" w:type="dxa"/>
            <w:vMerge/>
            <w:vAlign w:val="center"/>
          </w:tcPr>
          <w:p w:rsidR="00F30572" w:rsidRPr="00F30572" w:rsidRDefault="00F30572" w:rsidP="00F30572">
            <w:pPr>
              <w:ind w:left="453"/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≥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10.1 (6.9 – 13.2)</w:t>
            </w:r>
          </w:p>
        </w:tc>
        <w:tc>
          <w:tcPr>
            <w:tcW w:w="1843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Anterior Placenta Location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7.3 (4.7 – 12.1)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0.27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9.2 (6.5 – 16.2)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8926" w:type="dxa"/>
            <w:gridSpan w:val="4"/>
            <w:shd w:val="clear" w:color="auto" w:fill="DEEAF6" w:themeFill="accent1" w:themeFillTint="33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Signal Loss (%)</w:t>
            </w: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(kg/m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&lt;23.5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10.0 (0.4 – 19.6) 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0.39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23.5 to &lt; 30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5.8 (3.3 – 10.5)</w:t>
            </w:r>
          </w:p>
        </w:tc>
        <w:tc>
          <w:tcPr>
            <w:tcW w:w="1843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30 to &lt;35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11.3 (4.2 – 16.9)</w:t>
            </w:r>
          </w:p>
        </w:tc>
        <w:tc>
          <w:tcPr>
            <w:tcW w:w="1843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  <w:shd w:val="clear" w:color="auto" w:fill="auto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35 to &lt;45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12.4 (4.8 – 20.2)</w:t>
            </w:r>
          </w:p>
        </w:tc>
        <w:tc>
          <w:tcPr>
            <w:tcW w:w="1843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≤ 35 (kg/m2)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8.2 (3.8 – 16.1)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0.28</w:t>
            </w:r>
          </w:p>
        </w:tc>
      </w:tr>
      <w:tr w:rsidR="00F30572" w:rsidRPr="00F30572" w:rsidTr="00302AE3">
        <w:tc>
          <w:tcPr>
            <w:tcW w:w="2830" w:type="dxa"/>
            <w:vMerge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≥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12.4 (4.8 – 30.9)</w:t>
            </w:r>
          </w:p>
        </w:tc>
        <w:tc>
          <w:tcPr>
            <w:tcW w:w="1843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Anterior Placenta Location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9.3 (4.5 – 13.4)</w:t>
            </w:r>
          </w:p>
        </w:tc>
        <w:tc>
          <w:tcPr>
            <w:tcW w:w="1843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0.93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6.6 (2.7 – 21.3)</w:t>
            </w:r>
          </w:p>
        </w:tc>
        <w:tc>
          <w:tcPr>
            <w:tcW w:w="1843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</w:tbl>
    <w:p w:rsidR="00F30572" w:rsidRPr="00F30572" w:rsidRDefault="00F30572" w:rsidP="00F305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theme="minorHAnsi"/>
          <w:sz w:val="20"/>
          <w:szCs w:val="20"/>
          <w:lang w:val="en-US" w:eastAsia="en-GB" w:bidi="he-IL"/>
        </w:rPr>
      </w:pPr>
      <w:r w:rsidRPr="00F30572">
        <w:rPr>
          <w:rFonts w:ascii="Times New Roman" w:eastAsia="Times New Roman" w:hAnsi="Times New Roman" w:cstheme="minorHAnsi"/>
          <w:sz w:val="20"/>
          <w:szCs w:val="20"/>
          <w:lang w:val="en-US" w:eastAsia="en-GB" w:bidi="he-IL"/>
        </w:rPr>
        <w:t xml:space="preserve">*Gestational age was not included as all participants are in Trimester 3. </w:t>
      </w:r>
    </w:p>
    <w:p w:rsidR="00F30572" w:rsidRPr="00F30572" w:rsidRDefault="00F30572" w:rsidP="00F305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theme="minorHAnsi"/>
          <w:sz w:val="20"/>
          <w:szCs w:val="20"/>
          <w:lang w:val="en-US" w:eastAsia="en-GB" w:bidi="he-IL"/>
        </w:rPr>
        <w:sectPr w:rsidR="00F30572" w:rsidRPr="00F3057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30572" w:rsidRPr="00F30572" w:rsidRDefault="00F30572" w:rsidP="00F30572">
      <w:pPr>
        <w:spacing w:after="0" w:line="480" w:lineRule="auto"/>
        <w:rPr>
          <w:rFonts w:ascii="Times New Roman" w:eastAsia="Times New Roman" w:hAnsi="Times New Roman" w:cstheme="minorHAnsi"/>
          <w:b/>
          <w:sz w:val="20"/>
          <w:szCs w:val="20"/>
          <w:lang w:eastAsia="en-GB"/>
        </w:rPr>
      </w:pPr>
      <w:r w:rsidRPr="00F30572">
        <w:rPr>
          <w:rFonts w:ascii="Times New Roman" w:eastAsia="Times New Roman" w:hAnsi="Times New Roman" w:cstheme="minorHAnsi"/>
          <w:b/>
          <w:sz w:val="20"/>
          <w:szCs w:val="20"/>
          <w:lang w:eastAsia="en-GB"/>
        </w:rPr>
        <w:t>Appendix 5</w:t>
      </w:r>
    </w:p>
    <w:p w:rsidR="00F30572" w:rsidRPr="00F30572" w:rsidRDefault="00F30572" w:rsidP="00F30572">
      <w:pPr>
        <w:spacing w:after="0" w:line="480" w:lineRule="auto"/>
        <w:rPr>
          <w:rFonts w:ascii="Times New Roman" w:eastAsia="Times New Roman" w:hAnsi="Times New Roman" w:cstheme="minorHAnsi"/>
          <w:sz w:val="24"/>
          <w:szCs w:val="20"/>
          <w:lang w:eastAsia="en-GB"/>
        </w:rPr>
      </w:pPr>
      <w:r w:rsidRPr="00F30572">
        <w:rPr>
          <w:rFonts w:ascii="Times New Roman" w:eastAsia="Times New Roman" w:hAnsi="Times New Roman" w:cstheme="minorHAnsi"/>
          <w:sz w:val="24"/>
          <w:szCs w:val="20"/>
          <w:lang w:eastAsia="en-GB"/>
        </w:rPr>
        <w:t>Factors related to clinical outcomes (Phase 2)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1701"/>
        <w:gridCol w:w="1701"/>
      </w:tblGrid>
      <w:tr w:rsidR="00F30572" w:rsidRPr="00F30572" w:rsidTr="00302AE3">
        <w:tc>
          <w:tcPr>
            <w:tcW w:w="5382" w:type="dxa"/>
            <w:gridSpan w:val="2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User</w:t>
            </w:r>
          </w:p>
        </w:tc>
        <w:tc>
          <w:tcPr>
            <w:tcW w:w="3402" w:type="dxa"/>
            <w:gridSpan w:val="2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Clinician Administered</w:t>
            </w:r>
          </w:p>
        </w:tc>
      </w:tr>
      <w:tr w:rsidR="00F30572" w:rsidRPr="00F30572" w:rsidTr="00302AE3">
        <w:tc>
          <w:tcPr>
            <w:tcW w:w="5382" w:type="dxa"/>
            <w:gridSpan w:val="2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Site of recording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Participant’s Home (</w:t>
            </w:r>
            <w:r w:rsidRPr="00F30572">
              <w:rPr>
                <w:rFonts w:ascii="Times New Roman" w:eastAsia="Times New Roman" w:hAnsi="Times New Roman" w:cstheme="minorHAnsi"/>
                <w:b/>
                <w:sz w:val="20"/>
                <w:szCs w:val="20"/>
                <w:lang w:eastAsia="en-GB"/>
              </w:rPr>
              <w:t>Phase 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 n = 34</w:t>
            </w:r>
          </w:p>
        </w:tc>
      </w:tr>
      <w:tr w:rsidR="00F30572" w:rsidRPr="00F30572" w:rsidTr="00302AE3">
        <w:tc>
          <w:tcPr>
            <w:tcW w:w="5382" w:type="dxa"/>
            <w:gridSpan w:val="2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Median (IQR)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P</w:t>
            </w:r>
          </w:p>
        </w:tc>
      </w:tr>
      <w:tr w:rsidR="00F30572" w:rsidRPr="00F30572" w:rsidTr="00302AE3">
        <w:tc>
          <w:tcPr>
            <w:tcW w:w="8784" w:type="dxa"/>
            <w:gridSpan w:val="4"/>
            <w:shd w:val="clear" w:color="auto" w:fill="E2EFD9" w:themeFill="accent6" w:themeFillTint="33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Time to 1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st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 detection of FHR (Seconds)</w:t>
            </w: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(kg/m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23.5 to &lt; 30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30 (15 – 60)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0.053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30 to &lt;35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15 (15 – 15)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35 to &lt;45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15 (15 – 15)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≤ 35 (kg/m2)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15 (15 – 30)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0.45</w:t>
            </w:r>
          </w:p>
        </w:tc>
      </w:tr>
      <w:tr w:rsidR="00F30572" w:rsidRPr="00F30572" w:rsidTr="00302AE3">
        <w:tc>
          <w:tcPr>
            <w:tcW w:w="2830" w:type="dxa"/>
            <w:vMerge/>
            <w:vAlign w:val="center"/>
          </w:tcPr>
          <w:p w:rsidR="00F30572" w:rsidRPr="00F30572" w:rsidRDefault="00F30572" w:rsidP="00F30572">
            <w:pPr>
              <w:ind w:left="453"/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≥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15 (15 – 75)</w:t>
            </w:r>
          </w:p>
        </w:tc>
        <w:tc>
          <w:tcPr>
            <w:tcW w:w="1701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Anterior Placenta Location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15 (15 – 30)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0.92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15 (15 – 75)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Gestation Age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nd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 Trimester (Week 14-26)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382.5 (15 – 750)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0.33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rd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 Trimester (Week 27+)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15 (15 – 30)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8784" w:type="dxa"/>
            <w:gridSpan w:val="4"/>
            <w:shd w:val="clear" w:color="auto" w:fill="FBE4D5" w:themeFill="accent2" w:themeFillTint="33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Continuous FHR Trace Duration </w:t>
            </w:r>
          </w:p>
        </w:tc>
      </w:tr>
      <w:tr w:rsidR="00F30572" w:rsidRPr="00F30572" w:rsidTr="00302AE3">
        <w:tc>
          <w:tcPr>
            <w:tcW w:w="2830" w:type="dxa"/>
            <w:vMerge w:val="restart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(kg/m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23.5 to &lt; 30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8.8 (4.7 – 13.9)</w:t>
            </w:r>
          </w:p>
        </w:tc>
        <w:tc>
          <w:tcPr>
            <w:tcW w:w="1701" w:type="dxa"/>
            <w:vMerge w:val="restart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0.59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30 to &lt;35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6.4 (3.1 – 8.74)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ind w:left="453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35 to &lt;45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7.7 (5.3 – 14.2)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≤ 35 (kg/m2)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6.4 (4.6 – 9.8) 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0.40</w:t>
            </w:r>
          </w:p>
        </w:tc>
      </w:tr>
      <w:tr w:rsidR="00F30572" w:rsidRPr="00F30572" w:rsidTr="00302AE3">
        <w:tc>
          <w:tcPr>
            <w:tcW w:w="2830" w:type="dxa"/>
            <w:vMerge/>
            <w:vAlign w:val="center"/>
          </w:tcPr>
          <w:p w:rsidR="00F30572" w:rsidRPr="00F30572" w:rsidRDefault="00F30572" w:rsidP="00F30572">
            <w:pPr>
              <w:ind w:left="453"/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≥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7.7 (6.1 – 12.8)</w:t>
            </w:r>
          </w:p>
        </w:tc>
        <w:tc>
          <w:tcPr>
            <w:tcW w:w="1701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Anterior Placenta Location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7.6 (4.4 – 13.6)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0.76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ind w:left="76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6.5 (5.0 – 9.4)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Gestation Age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nd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 Trimester (Week 14-26)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14.8 (8.6 – 20.9)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0.12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rd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 Trimester (Week 27+)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6.5 (4.6 -11.3)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8784" w:type="dxa"/>
            <w:gridSpan w:val="4"/>
            <w:shd w:val="clear" w:color="auto" w:fill="DEEAF6" w:themeFill="accent1" w:themeFillTint="33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Signal Loss (%)</w:t>
            </w:r>
          </w:p>
        </w:tc>
      </w:tr>
      <w:tr w:rsidR="00F30572" w:rsidRPr="00F30572" w:rsidTr="00302AE3">
        <w:tc>
          <w:tcPr>
            <w:tcW w:w="2830" w:type="dxa"/>
            <w:vMerge w:val="restart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(kg/m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23.5 to &lt; 30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2.6 (1.3 – 6.6)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0.17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30 to &lt;35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6.0 (2.7 – 9.9)</w:t>
            </w:r>
          </w:p>
        </w:tc>
        <w:tc>
          <w:tcPr>
            <w:tcW w:w="1701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35 to &lt;45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6.7 (1.5 – 8.4)</w:t>
            </w:r>
          </w:p>
        </w:tc>
        <w:tc>
          <w:tcPr>
            <w:tcW w:w="1701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BMI at enrolment ≤ 35 (kg/m2)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&lt;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4.3 (2.1 – 9.7)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0.99</w:t>
            </w:r>
          </w:p>
        </w:tc>
      </w:tr>
      <w:tr w:rsidR="00F30572" w:rsidRPr="00F30572" w:rsidTr="00302AE3">
        <w:tc>
          <w:tcPr>
            <w:tcW w:w="2830" w:type="dxa"/>
            <w:vMerge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≥ 35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6.7 (1.5 – 8.4)</w:t>
            </w:r>
          </w:p>
        </w:tc>
        <w:tc>
          <w:tcPr>
            <w:tcW w:w="1701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Anterior Placenta Location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2.9 (1.0 – 9.5)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0.31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6.6 (3.3 – 9.7)</w:t>
            </w:r>
          </w:p>
        </w:tc>
        <w:tc>
          <w:tcPr>
            <w:tcW w:w="1701" w:type="dxa"/>
            <w:vMerge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  <w:tr w:rsidR="00F30572" w:rsidRPr="00F30572" w:rsidTr="00302AE3">
        <w:tc>
          <w:tcPr>
            <w:tcW w:w="2830" w:type="dxa"/>
            <w:vMerge w:val="restart"/>
            <w:vAlign w:val="center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Gestation Age</w:t>
            </w: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2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nd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 Trimester (Week 14-26)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1.4 (1.0 – 1.7)</w:t>
            </w:r>
          </w:p>
        </w:tc>
        <w:tc>
          <w:tcPr>
            <w:tcW w:w="1701" w:type="dxa"/>
            <w:vMerge w:val="restart"/>
            <w:vAlign w:val="center"/>
          </w:tcPr>
          <w:p w:rsidR="00F30572" w:rsidRPr="00F30572" w:rsidRDefault="00F30572" w:rsidP="00F30572">
            <w:pPr>
              <w:jc w:val="center"/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0.09</w:t>
            </w:r>
          </w:p>
        </w:tc>
      </w:tr>
      <w:tr w:rsidR="00F30572" w:rsidRPr="00F30572" w:rsidTr="00302AE3">
        <w:tc>
          <w:tcPr>
            <w:tcW w:w="2830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3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vertAlign w:val="superscript"/>
                <w:lang w:eastAsia="en-GB"/>
              </w:rPr>
              <w:t>rd</w:t>
            </w: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 xml:space="preserve"> Trimester (Week 27+)</w:t>
            </w:r>
          </w:p>
        </w:tc>
        <w:tc>
          <w:tcPr>
            <w:tcW w:w="1701" w:type="dxa"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  <w:r w:rsidRPr="00F30572"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  <w:t>5.9 (2.4 – 9.6)</w:t>
            </w:r>
          </w:p>
        </w:tc>
        <w:tc>
          <w:tcPr>
            <w:tcW w:w="1701" w:type="dxa"/>
            <w:vMerge/>
          </w:tcPr>
          <w:p w:rsidR="00F30572" w:rsidRPr="00F30572" w:rsidRDefault="00F30572" w:rsidP="00F30572">
            <w:pPr>
              <w:rPr>
                <w:rFonts w:ascii="Times New Roman" w:eastAsia="Times New Roman" w:hAnsi="Times New Roman" w:cstheme="minorHAnsi"/>
                <w:sz w:val="20"/>
                <w:szCs w:val="20"/>
                <w:lang w:eastAsia="en-GB"/>
              </w:rPr>
            </w:pPr>
          </w:p>
        </w:tc>
      </w:tr>
    </w:tbl>
    <w:p w:rsidR="00F30572" w:rsidRPr="00F30572" w:rsidRDefault="00F30572" w:rsidP="00F30572">
      <w:pPr>
        <w:spacing w:after="0" w:line="240" w:lineRule="auto"/>
        <w:ind w:left="720"/>
        <w:contextualSpacing/>
        <w:rPr>
          <w:rFonts w:ascii="Times New Roman" w:eastAsia="Times New Roman" w:hAnsi="Times New Roman" w:cstheme="minorHAnsi"/>
          <w:sz w:val="20"/>
          <w:szCs w:val="20"/>
          <w:lang w:val="en-US" w:eastAsia="en-GB" w:bidi="he-IL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theme="minorHAnsi"/>
          <w:sz w:val="20"/>
          <w:szCs w:val="20"/>
          <w:lang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theme="minorHAnsi"/>
          <w:sz w:val="20"/>
          <w:szCs w:val="20"/>
          <w:lang w:eastAsia="en-GB"/>
        </w:rPr>
      </w:pPr>
    </w:p>
    <w:p w:rsidR="00F30572" w:rsidRPr="00F30572" w:rsidRDefault="00F30572" w:rsidP="00F30572">
      <w:pPr>
        <w:spacing w:after="0" w:line="240" w:lineRule="auto"/>
        <w:rPr>
          <w:rFonts w:ascii="Times New Roman" w:eastAsia="Times New Roman" w:hAnsi="Times New Roman" w:cstheme="minorHAnsi"/>
          <w:sz w:val="20"/>
          <w:szCs w:val="20"/>
          <w:lang w:eastAsia="en-GB"/>
        </w:rPr>
      </w:pPr>
    </w:p>
    <w:p w:rsidR="00706646" w:rsidRDefault="00706646">
      <w:bookmarkStart w:id="1" w:name="_GoBack"/>
      <w:bookmarkEnd w:id="1"/>
    </w:p>
    <w:sectPr w:rsidR="00706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">
    <w:altName w:val="Corbel"/>
    <w:charset w:val="00"/>
    <w:family w:val="swiss"/>
    <w:pitch w:val="variable"/>
    <w:sig w:usb0="600002FF" w:usb1="00000001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C24"/>
    <w:multiLevelType w:val="multilevel"/>
    <w:tmpl w:val="13EC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20BF9"/>
    <w:multiLevelType w:val="hybridMultilevel"/>
    <w:tmpl w:val="366AD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72"/>
    <w:rsid w:val="002525EF"/>
    <w:rsid w:val="00566A2B"/>
    <w:rsid w:val="00706646"/>
    <w:rsid w:val="00F3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A3078B-B8DB-4373-9599-23C4D7DB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1242</Words>
  <Characters>7081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Authors’ Data Sharing Statement</vt:lpstr>
    </vt:vector>
  </TitlesOfParts>
  <Company>Ramsay Health Care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Paul</dc:creator>
  <cp:keywords/>
  <dc:description/>
  <cp:lastModifiedBy>Porter, Paul</cp:lastModifiedBy>
  <cp:revision>2</cp:revision>
  <dcterms:created xsi:type="dcterms:W3CDTF">2022-07-29T04:56:00Z</dcterms:created>
  <dcterms:modified xsi:type="dcterms:W3CDTF">2022-07-29T04:56:00Z</dcterms:modified>
</cp:coreProperties>
</file>