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BBC99" w14:textId="77777777" w:rsidR="000A4064" w:rsidRPr="00AB578F" w:rsidRDefault="000A4064" w:rsidP="000A4064">
      <w:pPr>
        <w:pStyle w:val="NormalWeb"/>
        <w:spacing w:before="0" w:beforeAutospacing="0" w:after="0" w:afterAutospacing="0" w:line="480" w:lineRule="auto"/>
        <w:rPr>
          <w:rFonts w:ascii="Arial" w:hAnsi="Arial" w:cs="Arial"/>
          <w:b/>
          <w:bCs/>
          <w:color w:val="000000" w:themeColor="text1"/>
          <w:sz w:val="22"/>
          <w:szCs w:val="22"/>
        </w:rPr>
      </w:pPr>
      <w:r w:rsidRPr="00AB578F">
        <w:rPr>
          <w:rFonts w:ascii="Arial" w:hAnsi="Arial" w:cs="Arial"/>
          <w:b/>
          <w:bCs/>
          <w:color w:val="000000" w:themeColor="text1"/>
          <w:sz w:val="22"/>
          <w:szCs w:val="22"/>
        </w:rPr>
        <w:t>Supplemental figures:</w:t>
      </w:r>
    </w:p>
    <w:p w14:paraId="2F0F2BD9"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rPr>
      </w:pPr>
      <w:r w:rsidRPr="00AB578F">
        <w:rPr>
          <w:rFonts w:ascii="Arial" w:hAnsi="Arial" w:cs="Arial"/>
          <w:noProof/>
          <w:color w:val="000000" w:themeColor="text1"/>
          <w:sz w:val="22"/>
          <w:szCs w:val="22"/>
        </w:rPr>
        <w:drawing>
          <wp:inline distT="0" distB="0" distL="0" distR="0" wp14:anchorId="07436B9A" wp14:editId="4083A06D">
            <wp:extent cx="5943600" cy="2212340"/>
            <wp:effectExtent l="0" t="0" r="0"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212340"/>
                    </a:xfrm>
                    <a:prstGeom prst="rect">
                      <a:avLst/>
                    </a:prstGeom>
                  </pic:spPr>
                </pic:pic>
              </a:graphicData>
            </a:graphic>
          </wp:inline>
        </w:drawing>
      </w:r>
    </w:p>
    <w:p w14:paraId="7411FDD1"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rPr>
      </w:pPr>
      <w:r w:rsidRPr="00AB578F">
        <w:rPr>
          <w:rFonts w:ascii="Arial" w:hAnsi="Arial" w:cs="Arial"/>
          <w:b/>
          <w:bCs/>
          <w:color w:val="000000" w:themeColor="text1"/>
          <w:sz w:val="22"/>
          <w:szCs w:val="22"/>
        </w:rPr>
        <w:t>Supplemental Figure 1</w:t>
      </w:r>
      <w:r w:rsidRPr="00AB578F">
        <w:rPr>
          <w:rFonts w:ascii="Arial" w:hAnsi="Arial" w:cs="Arial"/>
          <w:color w:val="000000" w:themeColor="text1"/>
          <w:sz w:val="22"/>
          <w:szCs w:val="22"/>
        </w:rPr>
        <w:t xml:space="preserve">. </w:t>
      </w:r>
      <w:r w:rsidRPr="00AB578F">
        <w:rPr>
          <w:rFonts w:ascii="Arial" w:hAnsi="Arial" w:cs="Arial"/>
          <w:color w:val="000000" w:themeColor="text1"/>
          <w:sz w:val="22"/>
          <w:szCs w:val="22"/>
          <w:shd w:val="clear" w:color="auto" w:fill="FFFFFF"/>
        </w:rPr>
        <w:t xml:space="preserve">The map of the </w:t>
      </w:r>
      <w:r w:rsidRPr="00AB578F">
        <w:rPr>
          <w:rFonts w:ascii="Arial" w:hAnsi="Arial" w:cs="Arial"/>
          <w:color w:val="000000" w:themeColor="text1"/>
          <w:spacing w:val="3"/>
          <w:sz w:val="22"/>
          <w:szCs w:val="22"/>
          <w:shd w:val="clear" w:color="auto" w:fill="FFFFFF"/>
        </w:rPr>
        <w:t>HIV-1</w:t>
      </w:r>
      <w:r w:rsidRPr="00AB578F">
        <w:rPr>
          <w:rFonts w:ascii="Arial" w:hAnsi="Arial" w:cs="Arial"/>
          <w:color w:val="000000" w:themeColor="text1"/>
          <w:spacing w:val="3"/>
          <w:sz w:val="22"/>
          <w:szCs w:val="22"/>
          <w:shd w:val="clear" w:color="auto" w:fill="FFFFFF"/>
          <w:vertAlign w:val="subscript"/>
        </w:rPr>
        <w:t xml:space="preserve">NL-CI </w:t>
      </w:r>
      <w:r w:rsidRPr="00AB578F">
        <w:rPr>
          <w:rFonts w:ascii="Arial" w:hAnsi="Arial" w:cs="Arial"/>
          <w:color w:val="000000" w:themeColor="text1"/>
          <w:sz w:val="22"/>
          <w:szCs w:val="22"/>
          <w:shd w:val="clear" w:color="auto" w:fill="FFFFFF"/>
        </w:rPr>
        <w:t xml:space="preserve">genome </w:t>
      </w:r>
      <w:r w:rsidRPr="00AB578F">
        <w:rPr>
          <w:rFonts w:ascii="Arial" w:hAnsi="Arial" w:cs="Arial"/>
          <w:color w:val="000000" w:themeColor="text1"/>
          <w:sz w:val="22"/>
          <w:szCs w:val="22"/>
          <w:shd w:val="clear" w:color="auto" w:fill="FFFFFF"/>
        </w:rPr>
        <w:fldChar w:fldCharType="begin"/>
      </w:r>
      <w:r w:rsidRPr="00AB578F">
        <w:rPr>
          <w:rFonts w:ascii="Arial" w:hAnsi="Arial" w:cs="Arial"/>
          <w:color w:val="000000" w:themeColor="text1"/>
          <w:sz w:val="22"/>
          <w:szCs w:val="22"/>
          <w:shd w:val="clear" w:color="auto" w:fill="FFFFFF"/>
        </w:rPr>
        <w:instrText xml:space="preserve"> ADDIN EN.CITE &lt;EndNote&gt;&lt;Cite&gt;&lt;Author&gt;Cohen&lt;/Author&gt;&lt;Year&gt;1999&lt;/Year&gt;&lt;RecNum&gt;0&lt;/RecNum&gt;&lt;IDText&gt;The selective downregulation of class I major histocompatibility complex proteins by HIV-1 protects HIV-infected cells from NK cells&lt;/IDText&gt;&lt;DisplayText&gt;(61)&lt;/DisplayText&gt;&lt;record&gt;&lt;dates&gt;&lt;pub-dates&gt;&lt;date&gt;Jun&lt;/date&gt;&lt;/pub-dates&gt;&lt;year&gt;1999&lt;/year&gt;&lt;/dates&gt;&lt;keywords&gt;&lt;keyword&gt;Cells, Cultured&lt;/keyword&gt;&lt;keyword&gt;Cytoplasm&lt;/keyword&gt;&lt;keyword&gt;Cytotoxicity, Immunologic&lt;/keyword&gt;&lt;keyword&gt;Down-Regulation&lt;/keyword&gt;&lt;keyword&gt;Gene Products, nef&lt;/keyword&gt;&lt;keyword&gt;HIV-1&lt;/keyword&gt;&lt;keyword&gt;HLA Antigens&lt;/keyword&gt;&lt;keyword&gt;HLA-A2 Antigen&lt;/keyword&gt;&lt;keyword&gt;HLA-C Antigens&lt;/keyword&gt;&lt;keyword&gt;Histocompatibility Antigens Class I&lt;/keyword&gt;&lt;keyword&gt;Humans&lt;/keyword&gt;&lt;keyword&gt;Killer Cells, Natural&lt;/keyword&gt;&lt;keyword&gt;nef Gene Products, Human Immunodeficiency Virus&lt;/keyword&gt;&lt;/keywords&gt;&lt;urls&gt;&lt;related-urls&gt;&lt;url&gt;https://www.ncbi.nlm.nih.gov/pubmed/10403641&lt;/url&gt;&lt;/related-urls&gt;&lt;/urls&gt;&lt;isbn&gt;1074-7613&lt;/isbn&gt;&lt;titles&gt;&lt;title&gt;The selective downregulation of class I major histocompatibility complex proteins by HIV-1 protects HIV-infected cells from NK cells&lt;/title&gt;&lt;secondary-title&gt;Immunity&lt;/secondary-title&gt;&lt;/titles&gt;&lt;pages&gt;661-71&lt;/pages&gt;&lt;number&gt;6&lt;/number&gt;&lt;contributors&gt;&lt;authors&gt;&lt;author&gt;Cohen, G. B.&lt;/author&gt;&lt;author&gt;Gandhi, R. T.&lt;/author&gt;&lt;author&gt;Davis, D. M.&lt;/author&gt;&lt;author&gt;Mandelboim, O.&lt;/author&gt;&lt;author&gt;Chen, B. K.&lt;/author&gt;&lt;author&gt;Strominger, J. L.&lt;/author&gt;&lt;author&gt;Baltimore, D.&lt;/author&gt;&lt;/authors&gt;&lt;/contributors&gt;&lt;language&gt;eng&lt;/language&gt;&lt;added-date format="utc"&gt;1535584845&lt;/added-date&gt;&lt;ref-type name="Journal Article"&gt;17&lt;/ref-type&gt;&lt;rec-number&gt;1187&lt;/rec-number&gt;&lt;last-updated-date format="utc"&gt;1537972873&lt;/last-updated-date&gt;&lt;accession-num&gt;10403641&lt;/accession-num&gt;&lt;volume&gt;10&lt;/volume&gt;&lt;/record&gt;&lt;/Cite&gt;&lt;/EndNote&gt;</w:instrText>
      </w:r>
      <w:r w:rsidRPr="00AB578F">
        <w:rPr>
          <w:rFonts w:ascii="Arial" w:hAnsi="Arial" w:cs="Arial"/>
          <w:color w:val="000000" w:themeColor="text1"/>
          <w:sz w:val="22"/>
          <w:szCs w:val="22"/>
          <w:shd w:val="clear" w:color="auto" w:fill="FFFFFF"/>
        </w:rPr>
        <w:fldChar w:fldCharType="separate"/>
      </w:r>
      <w:r w:rsidRPr="00AB578F">
        <w:rPr>
          <w:rFonts w:ascii="Arial" w:hAnsi="Arial" w:cs="Arial"/>
          <w:noProof/>
          <w:color w:val="000000" w:themeColor="text1"/>
          <w:sz w:val="22"/>
          <w:szCs w:val="22"/>
          <w:shd w:val="clear" w:color="auto" w:fill="FFFFFF"/>
        </w:rPr>
        <w:t>(61)</w:t>
      </w:r>
      <w:r w:rsidRPr="00AB578F">
        <w:rPr>
          <w:rFonts w:ascii="Arial" w:hAnsi="Arial" w:cs="Arial"/>
          <w:color w:val="000000" w:themeColor="text1"/>
          <w:sz w:val="22"/>
          <w:szCs w:val="22"/>
          <w:shd w:val="clear" w:color="auto" w:fill="FFFFFF"/>
        </w:rPr>
        <w:fldChar w:fldCharType="end"/>
      </w:r>
      <w:r w:rsidRPr="00AB578F">
        <w:rPr>
          <w:rFonts w:ascii="Arial" w:hAnsi="Arial" w:cs="Arial"/>
          <w:color w:val="000000" w:themeColor="text1"/>
          <w:sz w:val="22"/>
          <w:szCs w:val="22"/>
          <w:shd w:val="clear" w:color="auto" w:fill="FFFFFF"/>
        </w:rPr>
        <w:t xml:space="preserve"> shows that sequencing reads were aligned. Using a </w:t>
      </w:r>
      <w:r w:rsidRPr="00AB578F">
        <w:rPr>
          <w:rFonts w:ascii="Arial" w:hAnsi="Arial" w:cs="Arial"/>
          <w:color w:val="000000" w:themeColor="text1"/>
          <w:sz w:val="22"/>
          <w:szCs w:val="22"/>
        </w:rPr>
        <w:t xml:space="preserve">joint GRCh38-2020-A Human reference and a custom HIV reference whose regions with known features are marked as </w:t>
      </w:r>
      <w:proofErr w:type="spellStart"/>
      <w:r w:rsidRPr="00AB578F">
        <w:rPr>
          <w:rFonts w:ascii="Arial" w:hAnsi="Arial" w:cs="Arial"/>
          <w:color w:val="000000" w:themeColor="text1"/>
          <w:sz w:val="22"/>
          <w:szCs w:val="22"/>
        </w:rPr>
        <w:t>exonic</w:t>
      </w:r>
      <w:proofErr w:type="spellEnd"/>
      <w:r w:rsidRPr="00AB578F">
        <w:rPr>
          <w:rFonts w:ascii="Arial" w:hAnsi="Arial" w:cs="Arial"/>
          <w:color w:val="000000" w:themeColor="text1"/>
          <w:sz w:val="22"/>
          <w:szCs w:val="22"/>
        </w:rPr>
        <w:t xml:space="preserve">, the pipeline </w:t>
      </w:r>
      <w:proofErr w:type="gramStart"/>
      <w:r w:rsidRPr="00AB578F">
        <w:rPr>
          <w:rFonts w:ascii="Arial" w:hAnsi="Arial" w:cs="Arial"/>
          <w:color w:val="000000" w:themeColor="text1"/>
          <w:sz w:val="22"/>
          <w:szCs w:val="22"/>
        </w:rPr>
        <w:t>grouped</w:t>
      </w:r>
      <w:proofErr w:type="gramEnd"/>
      <w:r w:rsidRPr="00AB578F">
        <w:rPr>
          <w:rFonts w:ascii="Arial" w:hAnsi="Arial" w:cs="Arial"/>
          <w:color w:val="000000" w:themeColor="text1"/>
          <w:sz w:val="22"/>
          <w:szCs w:val="22"/>
        </w:rPr>
        <w:t xml:space="preserve"> and de-duplicated reads mapped to the transcriptome using 10X cellular barcodes and UMIs (Unique Molecular Identifiers), and feature-barcode matrices summarize the counts.</w:t>
      </w:r>
    </w:p>
    <w:p w14:paraId="714340E5"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rPr>
      </w:pPr>
    </w:p>
    <w:p w14:paraId="3C1D88B4"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shd w:val="clear" w:color="auto" w:fill="FFFFFF"/>
        </w:rPr>
      </w:pPr>
      <w:r w:rsidRPr="00AB578F">
        <w:rPr>
          <w:rFonts w:ascii="Arial" w:hAnsi="Arial" w:cs="Arial"/>
          <w:noProof/>
          <w:color w:val="000000" w:themeColor="text1"/>
          <w:sz w:val="22"/>
          <w:szCs w:val="22"/>
          <w:shd w:val="clear" w:color="auto" w:fill="FFFFFF"/>
        </w:rPr>
        <w:lastRenderedPageBreak/>
        <w:drawing>
          <wp:inline distT="0" distB="0" distL="0" distR="0" wp14:anchorId="14AE5941" wp14:editId="7FA2DC6A">
            <wp:extent cx="5943600" cy="4116070"/>
            <wp:effectExtent l="0" t="0" r="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116070"/>
                    </a:xfrm>
                    <a:prstGeom prst="rect">
                      <a:avLst/>
                    </a:prstGeom>
                  </pic:spPr>
                </pic:pic>
              </a:graphicData>
            </a:graphic>
          </wp:inline>
        </w:drawing>
      </w:r>
    </w:p>
    <w:p w14:paraId="54123070"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rPr>
      </w:pPr>
    </w:p>
    <w:p w14:paraId="58D92ABA" w14:textId="77777777" w:rsidR="000A4064" w:rsidRPr="00AB578F" w:rsidRDefault="000A4064" w:rsidP="000A4064">
      <w:pPr>
        <w:spacing w:line="480" w:lineRule="auto"/>
        <w:rPr>
          <w:rFonts w:ascii="Arial" w:hAnsi="Arial" w:cs="Arial"/>
          <w:color w:val="000000" w:themeColor="text1"/>
          <w:sz w:val="22"/>
          <w:szCs w:val="22"/>
        </w:rPr>
      </w:pPr>
      <w:r w:rsidRPr="00AB578F">
        <w:rPr>
          <w:rFonts w:ascii="Arial" w:hAnsi="Arial" w:cs="Arial"/>
          <w:b/>
          <w:bCs/>
          <w:color w:val="000000" w:themeColor="text1"/>
          <w:sz w:val="22"/>
          <w:szCs w:val="22"/>
        </w:rPr>
        <w:t>Supplemental Figure 2</w:t>
      </w:r>
      <w:r w:rsidRPr="00AB578F">
        <w:rPr>
          <w:rFonts w:ascii="Arial" w:hAnsi="Arial" w:cs="Arial"/>
          <w:color w:val="000000" w:themeColor="text1"/>
          <w:sz w:val="22"/>
          <w:szCs w:val="22"/>
        </w:rPr>
        <w:t>. Distribution of HIV exposure and transcripts by cell type. A. HIV transcripts are plotted by group (“no HIV,” “low HIV,” “high HIV”) by cell type in all conditions (left) and HIV-exposed samples (right). B. HIV exposure and transcript group by cell type. C. Cell types by HIV exposure and HIV exposure/transcript (left) and cell types by HIV transcript group and tonsil donor (right).</w:t>
      </w:r>
    </w:p>
    <w:p w14:paraId="1E490CF2" w14:textId="77777777" w:rsidR="000A4064" w:rsidRPr="00AB578F" w:rsidRDefault="000A4064" w:rsidP="000A4064">
      <w:pPr>
        <w:rPr>
          <w:rFonts w:ascii="Arial" w:hAnsi="Arial" w:cs="Arial"/>
          <w:color w:val="000000" w:themeColor="text1"/>
          <w:sz w:val="22"/>
          <w:szCs w:val="22"/>
        </w:rPr>
      </w:pPr>
      <w:r w:rsidRPr="00AB578F">
        <w:rPr>
          <w:rFonts w:ascii="Arial" w:hAnsi="Arial" w:cs="Arial"/>
          <w:color w:val="000000" w:themeColor="text1"/>
          <w:sz w:val="22"/>
          <w:szCs w:val="22"/>
        </w:rPr>
        <w:br w:type="page"/>
      </w:r>
    </w:p>
    <w:p w14:paraId="73825E8D" w14:textId="77777777" w:rsidR="000A4064" w:rsidRPr="00AB578F" w:rsidRDefault="000A4064" w:rsidP="000A4064">
      <w:pPr>
        <w:spacing w:line="480" w:lineRule="auto"/>
        <w:rPr>
          <w:rFonts w:ascii="Arial" w:hAnsi="Arial" w:cs="Arial"/>
          <w:color w:val="000000" w:themeColor="text1"/>
          <w:sz w:val="22"/>
          <w:szCs w:val="22"/>
        </w:rPr>
      </w:pPr>
      <w:r w:rsidRPr="00AB578F">
        <w:rPr>
          <w:rFonts w:ascii="Arial" w:hAnsi="Arial" w:cs="Arial"/>
          <w:noProof/>
          <w:color w:val="000000" w:themeColor="text1"/>
          <w:sz w:val="22"/>
          <w:szCs w:val="22"/>
        </w:rPr>
        <w:lastRenderedPageBreak/>
        <w:drawing>
          <wp:inline distT="0" distB="0" distL="0" distR="0" wp14:anchorId="25EECB7D" wp14:editId="55015359">
            <wp:extent cx="5943600" cy="6151245"/>
            <wp:effectExtent l="0" t="0" r="0" b="0"/>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6151245"/>
                    </a:xfrm>
                    <a:prstGeom prst="rect">
                      <a:avLst/>
                    </a:prstGeom>
                  </pic:spPr>
                </pic:pic>
              </a:graphicData>
            </a:graphic>
          </wp:inline>
        </w:drawing>
      </w:r>
    </w:p>
    <w:p w14:paraId="6B7241BA" w14:textId="77777777" w:rsidR="000A4064" w:rsidRPr="00AB578F" w:rsidRDefault="000A4064" w:rsidP="000A4064">
      <w:pPr>
        <w:spacing w:line="480" w:lineRule="auto"/>
        <w:rPr>
          <w:rFonts w:ascii="Arial" w:hAnsi="Arial" w:cs="Arial"/>
          <w:color w:val="000000" w:themeColor="text1"/>
          <w:sz w:val="22"/>
          <w:szCs w:val="22"/>
        </w:rPr>
      </w:pPr>
    </w:p>
    <w:p w14:paraId="19507C2D" w14:textId="77777777" w:rsidR="000A4064" w:rsidRPr="00AB578F" w:rsidRDefault="000A4064" w:rsidP="000A4064">
      <w:pPr>
        <w:spacing w:line="480" w:lineRule="auto"/>
        <w:rPr>
          <w:rFonts w:ascii="Arial" w:hAnsi="Arial" w:cs="Arial"/>
          <w:color w:val="000000" w:themeColor="text1"/>
          <w:sz w:val="22"/>
          <w:szCs w:val="22"/>
        </w:rPr>
      </w:pPr>
      <w:r w:rsidRPr="00AB578F">
        <w:rPr>
          <w:rFonts w:ascii="Arial" w:hAnsi="Arial" w:cs="Arial"/>
          <w:b/>
          <w:bCs/>
          <w:color w:val="000000" w:themeColor="text1"/>
          <w:sz w:val="22"/>
          <w:szCs w:val="22"/>
        </w:rPr>
        <w:t>Supplemental Figure 3</w:t>
      </w:r>
      <w:r w:rsidRPr="00AB578F">
        <w:rPr>
          <w:rFonts w:ascii="Arial" w:hAnsi="Arial" w:cs="Arial"/>
          <w:color w:val="000000" w:themeColor="text1"/>
          <w:sz w:val="22"/>
          <w:szCs w:val="22"/>
        </w:rPr>
        <w:t>. Oxidative phosphorylation gene expression in cell subsets. (</w:t>
      </w:r>
      <w:r w:rsidRPr="00AB578F">
        <w:rPr>
          <w:rFonts w:ascii="Arial" w:hAnsi="Arial" w:cs="Arial"/>
          <w:b/>
          <w:bCs/>
          <w:color w:val="000000" w:themeColor="text1"/>
          <w:sz w:val="22"/>
          <w:szCs w:val="22"/>
        </w:rPr>
        <w:t>A</w:t>
      </w:r>
      <w:r w:rsidRPr="00AB578F">
        <w:rPr>
          <w:rFonts w:ascii="Arial" w:hAnsi="Arial" w:cs="Arial"/>
          <w:color w:val="000000" w:themeColor="text1"/>
          <w:sz w:val="22"/>
          <w:szCs w:val="22"/>
        </w:rPr>
        <w:t>) NDUFS5, COX6C, NDUFA13, UQCR11, and MT-ATP8 are expressed in UMAP embedding split by HIV transcript groups. (</w:t>
      </w:r>
      <w:r w:rsidRPr="00AB578F">
        <w:rPr>
          <w:rFonts w:ascii="Arial" w:hAnsi="Arial" w:cs="Arial"/>
          <w:b/>
          <w:bCs/>
          <w:color w:val="000000" w:themeColor="text1"/>
          <w:sz w:val="22"/>
          <w:szCs w:val="22"/>
        </w:rPr>
        <w:t>B</w:t>
      </w:r>
      <w:r w:rsidRPr="00AB578F">
        <w:rPr>
          <w:rFonts w:ascii="Arial" w:hAnsi="Arial" w:cs="Arial"/>
          <w:color w:val="000000" w:themeColor="text1"/>
          <w:sz w:val="22"/>
          <w:szCs w:val="22"/>
        </w:rPr>
        <w:t xml:space="preserve">) Dot plot showing HIV and oxidative phosphorylation gene expression (rows) across cell types and HIV transcript groups (columns). </w:t>
      </w:r>
    </w:p>
    <w:p w14:paraId="3FB88AB6" w14:textId="77777777" w:rsidR="000A4064" w:rsidRPr="00AB578F" w:rsidRDefault="000A4064" w:rsidP="000A4064">
      <w:pPr>
        <w:spacing w:line="480" w:lineRule="auto"/>
        <w:rPr>
          <w:rFonts w:ascii="Arial" w:hAnsi="Arial" w:cs="Arial"/>
          <w:color w:val="000000" w:themeColor="text1"/>
          <w:sz w:val="22"/>
          <w:szCs w:val="22"/>
        </w:rPr>
      </w:pPr>
    </w:p>
    <w:p w14:paraId="25AE4315" w14:textId="77777777" w:rsidR="000A4064" w:rsidRPr="00AB578F" w:rsidRDefault="000A4064" w:rsidP="000A4064">
      <w:pPr>
        <w:pStyle w:val="NormalWeb"/>
        <w:spacing w:before="0" w:beforeAutospacing="0" w:after="0" w:afterAutospacing="0" w:line="480" w:lineRule="auto"/>
        <w:rPr>
          <w:rFonts w:ascii="Arial" w:hAnsi="Arial" w:cs="Arial"/>
          <w:b/>
          <w:bCs/>
          <w:color w:val="000000" w:themeColor="text1"/>
          <w:sz w:val="22"/>
          <w:szCs w:val="22"/>
        </w:rPr>
      </w:pPr>
      <w:r w:rsidRPr="00AB578F">
        <w:rPr>
          <w:rFonts w:ascii="Arial" w:hAnsi="Arial" w:cs="Arial"/>
          <w:b/>
          <w:bCs/>
          <w:noProof/>
          <w:color w:val="000000" w:themeColor="text1"/>
          <w:sz w:val="22"/>
          <w:szCs w:val="22"/>
        </w:rPr>
        <w:lastRenderedPageBreak/>
        <w:drawing>
          <wp:inline distT="0" distB="0" distL="0" distR="0" wp14:anchorId="2EE76E7A" wp14:editId="7F85FC6F">
            <wp:extent cx="3202940" cy="8229600"/>
            <wp:effectExtent l="0" t="0" r="0" b="0"/>
            <wp:docPr id="11" name="Picture 11" descr="A picture containing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ba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202940" cy="8229600"/>
                    </a:xfrm>
                    <a:prstGeom prst="rect">
                      <a:avLst/>
                    </a:prstGeom>
                  </pic:spPr>
                </pic:pic>
              </a:graphicData>
            </a:graphic>
          </wp:inline>
        </w:drawing>
      </w:r>
    </w:p>
    <w:p w14:paraId="295043BD" w14:textId="77777777" w:rsidR="000A4064" w:rsidRPr="00AB578F" w:rsidRDefault="000A4064" w:rsidP="000A4064">
      <w:pPr>
        <w:pStyle w:val="NormalWeb"/>
        <w:spacing w:before="0" w:beforeAutospacing="0" w:after="0" w:afterAutospacing="0" w:line="480" w:lineRule="auto"/>
        <w:rPr>
          <w:rFonts w:ascii="Arial" w:hAnsi="Arial" w:cs="Arial"/>
          <w:color w:val="000000" w:themeColor="text1"/>
          <w:sz w:val="22"/>
          <w:szCs w:val="22"/>
        </w:rPr>
      </w:pPr>
      <w:r w:rsidRPr="00AB578F">
        <w:rPr>
          <w:rFonts w:ascii="Arial" w:hAnsi="Arial" w:cs="Arial"/>
          <w:b/>
          <w:bCs/>
          <w:color w:val="000000" w:themeColor="text1"/>
          <w:sz w:val="22"/>
          <w:szCs w:val="22"/>
        </w:rPr>
        <w:lastRenderedPageBreak/>
        <w:t>Supplemental Figure 4</w:t>
      </w:r>
      <w:r w:rsidRPr="00AB578F">
        <w:rPr>
          <w:rFonts w:ascii="Arial" w:hAnsi="Arial" w:cs="Arial"/>
          <w:color w:val="000000" w:themeColor="text1"/>
          <w:sz w:val="22"/>
          <w:szCs w:val="22"/>
        </w:rPr>
        <w:t>. Heatmap of cell types comparing pathway analysis comparing transcript groups (“high HIV” vs. “no HIV” and “low HIV” vs. “no HIV”) in each cell type with complete annotation (as shown in Figure 6G). Normalized enrichment scores are shown for the indicated pathways comparing B cells, CD4</w:t>
      </w:r>
      <w:r w:rsidRPr="00AB578F">
        <w:rPr>
          <w:rFonts w:ascii="Arial" w:hAnsi="Arial" w:cs="Arial"/>
          <w:color w:val="000000" w:themeColor="text1"/>
          <w:sz w:val="22"/>
          <w:szCs w:val="22"/>
          <w:shd w:val="clear" w:color="auto" w:fill="FFFFFF"/>
          <w:vertAlign w:val="superscript"/>
        </w:rPr>
        <w:t>+</w:t>
      </w:r>
      <w:r w:rsidRPr="00AB578F">
        <w:rPr>
          <w:rFonts w:ascii="Arial" w:hAnsi="Arial" w:cs="Arial"/>
          <w:color w:val="000000" w:themeColor="text1"/>
          <w:sz w:val="22"/>
          <w:szCs w:val="22"/>
        </w:rPr>
        <w:t xml:space="preserve"> T cells, CD8</w:t>
      </w:r>
      <w:r w:rsidRPr="00AB578F">
        <w:rPr>
          <w:rFonts w:ascii="Arial" w:hAnsi="Arial" w:cs="Arial"/>
          <w:color w:val="000000" w:themeColor="text1"/>
          <w:sz w:val="22"/>
          <w:szCs w:val="22"/>
          <w:shd w:val="clear" w:color="auto" w:fill="FFFFFF"/>
          <w:vertAlign w:val="superscript"/>
        </w:rPr>
        <w:t>+</w:t>
      </w:r>
      <w:r w:rsidRPr="00AB578F">
        <w:rPr>
          <w:rFonts w:ascii="Arial" w:hAnsi="Arial" w:cs="Arial"/>
          <w:color w:val="000000" w:themeColor="text1"/>
          <w:sz w:val="22"/>
          <w:szCs w:val="22"/>
        </w:rPr>
        <w:t xml:space="preserve"> T cells, and myeloid cells by comparing expression patterns in the “High vs. no HIV” (red) or “Low vs. no HIV” (purple) groups.</w:t>
      </w:r>
    </w:p>
    <w:p w14:paraId="2604539B" w14:textId="77777777" w:rsidR="00911259" w:rsidRDefault="00911259"/>
    <w:sectPr w:rsidR="009112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64"/>
    <w:rsid w:val="000A4064"/>
    <w:rsid w:val="00911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FA5B1"/>
  <w15:chartTrackingRefBased/>
  <w15:docId w15:val="{A9F2DE3D-4D2D-4D5B-9AFC-1181B4C61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4064"/>
    <w:pPr>
      <w:spacing w:after="0" w:line="240" w:lineRule="auto"/>
    </w:pPr>
    <w:rPr>
      <w:rFonts w:ascii="Times New Roman" w:eastAsia="Times New Roman" w:hAnsi="Times New Roman" w:cs="Times New Roman"/>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0A4064"/>
    <w:pPr>
      <w:spacing w:before="100" w:beforeAutospacing="1" w:after="100" w:afterAutospacing="1"/>
    </w:pPr>
  </w:style>
  <w:style w:type="character" w:customStyle="1" w:styleId="NormalWebChar">
    <w:name w:val="Normal (Web) Char"/>
    <w:basedOn w:val="DefaultParagraphFont"/>
    <w:link w:val="NormalWeb"/>
    <w:uiPriority w:val="99"/>
    <w:rsid w:val="000A4064"/>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510</Words>
  <Characters>2909</Characters>
  <Application>Microsoft Office Word</Application>
  <DocSecurity>0</DocSecurity>
  <Lines>24</Lines>
  <Paragraphs>6</Paragraphs>
  <ScaleCrop>false</ScaleCrop>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2022-09-01T16:45:00Z</dcterms:created>
  <dcterms:modified xsi:type="dcterms:W3CDTF">2022-09-01T16:45:00Z</dcterms:modified>
</cp:coreProperties>
</file>